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46EB" w:rsidRPr="00E44ECC" w:rsidRDefault="00E44ECC" w:rsidP="00E44ECC">
      <w:pPr>
        <w:spacing w:line="240" w:lineRule="auto"/>
        <w:contextualSpacing/>
        <w:jc w:val="center"/>
        <w:rPr>
          <w:b/>
        </w:rPr>
      </w:pPr>
      <w:r w:rsidRPr="00E44ECC">
        <w:rPr>
          <w:b/>
        </w:rPr>
        <w:t>Finfish Task Force Meeting Minutes</w:t>
      </w:r>
    </w:p>
    <w:p w:rsidR="00E44ECC" w:rsidRPr="00E44ECC" w:rsidRDefault="00E44ECC" w:rsidP="00E44ECC">
      <w:pPr>
        <w:spacing w:line="240" w:lineRule="auto"/>
        <w:contextualSpacing/>
        <w:jc w:val="center"/>
        <w:rPr>
          <w:b/>
        </w:rPr>
      </w:pPr>
      <w:r w:rsidRPr="00E44ECC">
        <w:rPr>
          <w:b/>
        </w:rPr>
        <w:t>April 14, 2021, 10:00am</w:t>
      </w:r>
    </w:p>
    <w:p w:rsidR="00E44ECC" w:rsidRPr="00E44ECC" w:rsidRDefault="00E44ECC" w:rsidP="00E44ECC">
      <w:pPr>
        <w:spacing w:line="240" w:lineRule="auto"/>
        <w:contextualSpacing/>
        <w:jc w:val="center"/>
        <w:rPr>
          <w:b/>
        </w:rPr>
      </w:pPr>
      <w:r w:rsidRPr="00E44ECC">
        <w:rPr>
          <w:b/>
        </w:rPr>
        <w:t>LDWF Headquarters</w:t>
      </w:r>
    </w:p>
    <w:p w:rsidR="00E44ECC" w:rsidRPr="00E44ECC" w:rsidRDefault="00E44ECC" w:rsidP="00E44ECC">
      <w:pPr>
        <w:spacing w:line="240" w:lineRule="auto"/>
        <w:contextualSpacing/>
        <w:jc w:val="center"/>
        <w:rPr>
          <w:b/>
        </w:rPr>
      </w:pPr>
      <w:r w:rsidRPr="00E44ECC">
        <w:rPr>
          <w:b/>
        </w:rPr>
        <w:t>2000 Quail Dr.</w:t>
      </w:r>
    </w:p>
    <w:p w:rsidR="00E44ECC" w:rsidRDefault="00E44ECC" w:rsidP="00E44ECC">
      <w:pPr>
        <w:spacing w:line="240" w:lineRule="auto"/>
        <w:contextualSpacing/>
        <w:jc w:val="center"/>
        <w:rPr>
          <w:b/>
        </w:rPr>
      </w:pPr>
      <w:r w:rsidRPr="00E44ECC">
        <w:rPr>
          <w:b/>
        </w:rPr>
        <w:t>Baton Rouge, LA 70898</w:t>
      </w:r>
    </w:p>
    <w:p w:rsidR="00E44ECC" w:rsidRDefault="00E44ECC" w:rsidP="00E44ECC">
      <w:pPr>
        <w:spacing w:line="240" w:lineRule="auto"/>
        <w:contextualSpacing/>
        <w:jc w:val="center"/>
      </w:pPr>
    </w:p>
    <w:p w:rsidR="00E44ECC" w:rsidRDefault="00E44ECC" w:rsidP="00E44ECC">
      <w:pPr>
        <w:spacing w:line="240" w:lineRule="auto"/>
        <w:contextualSpacing/>
      </w:pPr>
      <w:r>
        <w:t xml:space="preserve">I. Pledge of Allegiance </w:t>
      </w:r>
    </w:p>
    <w:p w:rsidR="00E44ECC" w:rsidRDefault="00E44ECC" w:rsidP="00E44ECC">
      <w:pPr>
        <w:spacing w:line="240" w:lineRule="auto"/>
        <w:contextualSpacing/>
      </w:pPr>
      <w:r>
        <w:t>II. Call to Order</w:t>
      </w:r>
    </w:p>
    <w:p w:rsidR="00E44ECC" w:rsidRDefault="00E44ECC" w:rsidP="00E44ECC">
      <w:pPr>
        <w:spacing w:line="240" w:lineRule="auto"/>
        <w:contextualSpacing/>
      </w:pPr>
      <w:r>
        <w:t>III. Roll call and introduction of guests</w:t>
      </w:r>
    </w:p>
    <w:p w:rsidR="00E44ECC" w:rsidRDefault="00E44ECC" w:rsidP="00E44ECC">
      <w:pPr>
        <w:spacing w:line="240" w:lineRule="auto"/>
        <w:contextualSpacing/>
      </w:pPr>
    </w:p>
    <w:p w:rsidR="00E44ECC" w:rsidRDefault="00E44ECC" w:rsidP="00E44ECC">
      <w:pPr>
        <w:spacing w:line="240" w:lineRule="auto"/>
        <w:contextualSpacing/>
        <w:rPr>
          <w:b/>
        </w:rPr>
      </w:pPr>
      <w:r w:rsidRPr="00E44ECC">
        <w:rPr>
          <w:b/>
        </w:rPr>
        <w:t xml:space="preserve">Voting Members Present: </w:t>
      </w:r>
    </w:p>
    <w:p w:rsidR="00E44ECC" w:rsidRDefault="00E44ECC" w:rsidP="00E44ECC">
      <w:pPr>
        <w:spacing w:line="240" w:lineRule="auto"/>
        <w:contextualSpacing/>
      </w:pPr>
      <w:r>
        <w:t>John Walther</w:t>
      </w:r>
    </w:p>
    <w:p w:rsidR="00E44ECC" w:rsidRDefault="00E44ECC" w:rsidP="00E44ECC">
      <w:pPr>
        <w:spacing w:line="240" w:lineRule="auto"/>
        <w:contextualSpacing/>
      </w:pPr>
      <w:r>
        <w:t>Daryl Simon</w:t>
      </w:r>
    </w:p>
    <w:p w:rsidR="00E44ECC" w:rsidRDefault="00E44ECC" w:rsidP="00E44ECC">
      <w:pPr>
        <w:spacing w:line="240" w:lineRule="auto"/>
        <w:contextualSpacing/>
      </w:pPr>
      <w:r>
        <w:t xml:space="preserve">James </w:t>
      </w:r>
      <w:proofErr w:type="spellStart"/>
      <w:r>
        <w:t>Pelas</w:t>
      </w:r>
      <w:proofErr w:type="spellEnd"/>
    </w:p>
    <w:p w:rsidR="00E44ECC" w:rsidRDefault="00E44ECC" w:rsidP="00E44ECC">
      <w:pPr>
        <w:spacing w:line="240" w:lineRule="auto"/>
        <w:contextualSpacing/>
      </w:pPr>
      <w:r>
        <w:t>Acy Cooper, III</w:t>
      </w:r>
    </w:p>
    <w:p w:rsidR="00E44ECC" w:rsidRDefault="00E44ECC" w:rsidP="00E44ECC">
      <w:pPr>
        <w:spacing w:line="240" w:lineRule="auto"/>
        <w:contextualSpacing/>
      </w:pPr>
      <w:r>
        <w:t>Daniel Edgar</w:t>
      </w:r>
    </w:p>
    <w:p w:rsidR="00E44ECC" w:rsidRDefault="00E44ECC" w:rsidP="00E44ECC">
      <w:pPr>
        <w:spacing w:line="240" w:lineRule="auto"/>
        <w:contextualSpacing/>
      </w:pPr>
      <w:r>
        <w:t>George Huye</w:t>
      </w:r>
    </w:p>
    <w:p w:rsidR="00E44ECC" w:rsidRDefault="00E44ECC" w:rsidP="00E44ECC">
      <w:pPr>
        <w:spacing w:line="240" w:lineRule="auto"/>
        <w:contextualSpacing/>
      </w:pPr>
      <w:r>
        <w:t>Ben Graham</w:t>
      </w:r>
    </w:p>
    <w:p w:rsidR="00E44ECC" w:rsidRDefault="00E44ECC" w:rsidP="00E44ECC">
      <w:pPr>
        <w:spacing w:line="240" w:lineRule="auto"/>
        <w:contextualSpacing/>
      </w:pPr>
      <w:r>
        <w:t>Stuart Billeaud</w:t>
      </w:r>
    </w:p>
    <w:p w:rsidR="00E44ECC" w:rsidRDefault="00E44ECC" w:rsidP="00E44ECC">
      <w:pPr>
        <w:spacing w:line="240" w:lineRule="auto"/>
        <w:contextualSpacing/>
      </w:pPr>
      <w:r>
        <w:t>Steve Rockwieler</w:t>
      </w:r>
    </w:p>
    <w:p w:rsidR="00E44ECC" w:rsidRPr="00E44ECC" w:rsidRDefault="00E44ECC" w:rsidP="00E44ECC">
      <w:pPr>
        <w:spacing w:line="240" w:lineRule="auto"/>
        <w:contextualSpacing/>
      </w:pPr>
    </w:p>
    <w:p w:rsidR="00E44ECC" w:rsidRDefault="00E44ECC" w:rsidP="00E44ECC">
      <w:pPr>
        <w:spacing w:line="240" w:lineRule="auto"/>
        <w:contextualSpacing/>
        <w:rPr>
          <w:b/>
        </w:rPr>
      </w:pPr>
      <w:r w:rsidRPr="00E44ECC">
        <w:rPr>
          <w:b/>
        </w:rPr>
        <w:t>Voting Members Absent:</w:t>
      </w:r>
    </w:p>
    <w:p w:rsidR="00E44ECC" w:rsidRDefault="00E44ECC" w:rsidP="00E44ECC">
      <w:pPr>
        <w:spacing w:line="240" w:lineRule="auto"/>
        <w:contextualSpacing/>
      </w:pPr>
      <w:r w:rsidRPr="00E44ECC">
        <w:t>Wayne Rollo</w:t>
      </w:r>
    </w:p>
    <w:p w:rsidR="00E44ECC" w:rsidRDefault="00E44ECC" w:rsidP="00E44ECC">
      <w:pPr>
        <w:spacing w:line="240" w:lineRule="auto"/>
        <w:contextualSpacing/>
      </w:pPr>
      <w:r>
        <w:t>Jay Trotter</w:t>
      </w:r>
    </w:p>
    <w:p w:rsidR="00E44ECC" w:rsidRDefault="00E44ECC" w:rsidP="00E44ECC">
      <w:pPr>
        <w:spacing w:line="240" w:lineRule="auto"/>
        <w:contextualSpacing/>
      </w:pPr>
      <w:r>
        <w:t>Adam Guillory</w:t>
      </w:r>
    </w:p>
    <w:p w:rsidR="00E44ECC" w:rsidRDefault="00E44ECC" w:rsidP="00E44ECC">
      <w:pPr>
        <w:spacing w:line="240" w:lineRule="auto"/>
        <w:contextualSpacing/>
      </w:pPr>
      <w:r>
        <w:t xml:space="preserve">Senator Bob </w:t>
      </w:r>
      <w:proofErr w:type="spellStart"/>
      <w:r>
        <w:t>Hensgens</w:t>
      </w:r>
      <w:proofErr w:type="spellEnd"/>
    </w:p>
    <w:p w:rsidR="00E44ECC" w:rsidRDefault="00E44ECC" w:rsidP="00E44ECC">
      <w:pPr>
        <w:spacing w:line="240" w:lineRule="auto"/>
        <w:contextualSpacing/>
      </w:pPr>
      <w:r>
        <w:t>Representative John Stefanski</w:t>
      </w:r>
    </w:p>
    <w:p w:rsidR="00E44ECC" w:rsidRPr="00E44ECC" w:rsidRDefault="00E44ECC" w:rsidP="00E44ECC">
      <w:pPr>
        <w:spacing w:line="240" w:lineRule="auto"/>
        <w:contextualSpacing/>
      </w:pPr>
    </w:p>
    <w:p w:rsidR="00E44ECC" w:rsidRDefault="00E44ECC" w:rsidP="00E44ECC">
      <w:pPr>
        <w:spacing w:line="240" w:lineRule="auto"/>
        <w:contextualSpacing/>
        <w:rPr>
          <w:b/>
        </w:rPr>
      </w:pPr>
      <w:r w:rsidRPr="00E44ECC">
        <w:rPr>
          <w:b/>
        </w:rPr>
        <w:t>Non-Voting Members Present:</w:t>
      </w:r>
    </w:p>
    <w:p w:rsidR="00E44ECC" w:rsidRDefault="00E44ECC" w:rsidP="00E44ECC">
      <w:pPr>
        <w:spacing w:line="240" w:lineRule="auto"/>
        <w:contextualSpacing/>
      </w:pPr>
      <w:r>
        <w:t>Jason Adriance</w:t>
      </w:r>
    </w:p>
    <w:p w:rsidR="00E44ECC" w:rsidRDefault="00E44ECC" w:rsidP="00E44ECC">
      <w:pPr>
        <w:spacing w:line="240" w:lineRule="auto"/>
        <w:contextualSpacing/>
      </w:pPr>
      <w:r>
        <w:t>Brian Marie</w:t>
      </w:r>
    </w:p>
    <w:p w:rsidR="00E44ECC" w:rsidRDefault="00E44ECC" w:rsidP="00E44ECC">
      <w:pPr>
        <w:spacing w:line="240" w:lineRule="auto"/>
        <w:contextualSpacing/>
      </w:pPr>
      <w:r>
        <w:t>Jack Isaacs</w:t>
      </w:r>
    </w:p>
    <w:p w:rsidR="00E44ECC" w:rsidRPr="00E44ECC" w:rsidRDefault="00E44ECC" w:rsidP="00E44ECC">
      <w:pPr>
        <w:spacing w:line="240" w:lineRule="auto"/>
        <w:contextualSpacing/>
      </w:pPr>
    </w:p>
    <w:p w:rsidR="00E44ECC" w:rsidRDefault="00E44ECC" w:rsidP="00E44ECC">
      <w:pPr>
        <w:spacing w:line="240" w:lineRule="auto"/>
        <w:contextualSpacing/>
        <w:rPr>
          <w:b/>
        </w:rPr>
      </w:pPr>
      <w:r w:rsidRPr="00E44ECC">
        <w:rPr>
          <w:b/>
        </w:rPr>
        <w:t>Non-Voting Members Absent:</w:t>
      </w:r>
    </w:p>
    <w:p w:rsidR="00E44ECC" w:rsidRDefault="00E44ECC" w:rsidP="00E44ECC">
      <w:pPr>
        <w:spacing w:line="240" w:lineRule="auto"/>
        <w:contextualSpacing/>
      </w:pPr>
      <w:r>
        <w:t xml:space="preserve">Adam </w:t>
      </w:r>
      <w:proofErr w:type="spellStart"/>
      <w:r>
        <w:t>Eitmann</w:t>
      </w:r>
      <w:proofErr w:type="spellEnd"/>
    </w:p>
    <w:p w:rsidR="00E44ECC" w:rsidRDefault="00E44ECC" w:rsidP="00E44ECC">
      <w:pPr>
        <w:spacing w:line="240" w:lineRule="auto"/>
        <w:contextualSpacing/>
      </w:pPr>
      <w:r>
        <w:t>Justin Gremillion</w:t>
      </w:r>
    </w:p>
    <w:p w:rsidR="00E44ECC" w:rsidRDefault="00E44ECC" w:rsidP="00E44ECC">
      <w:pPr>
        <w:spacing w:line="240" w:lineRule="auto"/>
        <w:contextualSpacing/>
      </w:pPr>
    </w:p>
    <w:p w:rsidR="00B15BBA" w:rsidRDefault="00B15BBA" w:rsidP="00E44ECC">
      <w:pPr>
        <w:spacing w:line="240" w:lineRule="auto"/>
        <w:contextualSpacing/>
      </w:pPr>
      <w:r>
        <w:t>Jason Adriance stated that his name was listed under “voting members” in the roll call and needed to be moved to “non-voting members present” in the minutes from January 8, 2020</w:t>
      </w:r>
    </w:p>
    <w:p w:rsidR="00B15BBA" w:rsidRPr="00E44ECC" w:rsidRDefault="00B15BBA" w:rsidP="00E44ECC">
      <w:pPr>
        <w:spacing w:line="240" w:lineRule="auto"/>
        <w:contextualSpacing/>
      </w:pPr>
    </w:p>
    <w:p w:rsidR="00E44ECC" w:rsidRDefault="00E44ECC" w:rsidP="00E44ECC">
      <w:pPr>
        <w:spacing w:line="240" w:lineRule="auto"/>
        <w:contextualSpacing/>
      </w:pPr>
      <w:r w:rsidRPr="00E44ECC">
        <w:t xml:space="preserve">IV. </w:t>
      </w:r>
      <w:r w:rsidR="00B15BBA">
        <w:t>Daniel Edgar m</w:t>
      </w:r>
      <w:r w:rsidRPr="00E44ECC">
        <w:t>otioned to approve the January 8, 2020 meeting minutes, 2</w:t>
      </w:r>
      <w:r w:rsidRPr="00E44ECC">
        <w:rPr>
          <w:vertAlign w:val="superscript"/>
        </w:rPr>
        <w:t>nd</w:t>
      </w:r>
      <w:r w:rsidRPr="00E44ECC">
        <w:t xml:space="preserve"> by</w:t>
      </w:r>
      <w:r w:rsidR="00B15BBA">
        <w:t xml:space="preserve"> Stuart Billeaud. Motion carries.</w:t>
      </w:r>
    </w:p>
    <w:p w:rsidR="00B15BBA" w:rsidRDefault="00B15BBA" w:rsidP="00E44ECC">
      <w:pPr>
        <w:spacing w:line="240" w:lineRule="auto"/>
        <w:contextualSpacing/>
      </w:pPr>
    </w:p>
    <w:p w:rsidR="00B15BBA" w:rsidRDefault="00B15BBA" w:rsidP="00E44ECC">
      <w:pPr>
        <w:spacing w:line="240" w:lineRule="auto"/>
        <w:contextualSpacing/>
      </w:pPr>
      <w:r>
        <w:t>V. Daniel Edgar motioned to approve the April 12, 2021 meeting agenda, 2</w:t>
      </w:r>
      <w:r w:rsidRPr="00B15BBA">
        <w:rPr>
          <w:vertAlign w:val="superscript"/>
        </w:rPr>
        <w:t>nd</w:t>
      </w:r>
      <w:r>
        <w:t xml:space="preserve"> by George Huye. Motion carries.</w:t>
      </w:r>
    </w:p>
    <w:p w:rsidR="00B15BBA" w:rsidRDefault="00B15BBA" w:rsidP="00E44ECC">
      <w:pPr>
        <w:spacing w:line="240" w:lineRule="auto"/>
        <w:contextualSpacing/>
      </w:pPr>
    </w:p>
    <w:p w:rsidR="00B15BBA" w:rsidRDefault="00B15BBA" w:rsidP="00E44ECC">
      <w:pPr>
        <w:spacing w:line="240" w:lineRule="auto"/>
        <w:contextualSpacing/>
      </w:pPr>
      <w:r>
        <w:t>VI. New Business</w:t>
      </w:r>
    </w:p>
    <w:p w:rsidR="00B15BBA" w:rsidRDefault="00B15BBA" w:rsidP="00E44ECC">
      <w:pPr>
        <w:spacing w:line="240" w:lineRule="auto"/>
        <w:contextualSpacing/>
      </w:pPr>
    </w:p>
    <w:p w:rsidR="00B15BBA" w:rsidRDefault="00B15BBA" w:rsidP="00B15BBA">
      <w:pPr>
        <w:pStyle w:val="ListParagraph"/>
        <w:numPr>
          <w:ilvl w:val="0"/>
          <w:numId w:val="1"/>
        </w:numPr>
        <w:spacing w:line="240" w:lineRule="auto"/>
      </w:pPr>
      <w:r>
        <w:lastRenderedPageBreak/>
        <w:t>To task force discussed future fresh water diversion projects</w:t>
      </w:r>
    </w:p>
    <w:p w:rsidR="00B15BBA" w:rsidRDefault="00B15BBA" w:rsidP="00B15BBA">
      <w:pPr>
        <w:spacing w:line="240" w:lineRule="auto"/>
      </w:pPr>
      <w:r>
        <w:t>Brian Lezina, CPRA provided a presentation to the task force on future fresh water diversion projects</w:t>
      </w:r>
    </w:p>
    <w:p w:rsidR="00B15BBA" w:rsidRDefault="00B15BBA" w:rsidP="00B15BBA">
      <w:pPr>
        <w:spacing w:line="240" w:lineRule="auto"/>
      </w:pPr>
      <w:r w:rsidRPr="00B15BBA">
        <w:rPr>
          <w:noProof/>
        </w:rPr>
        <w:drawing>
          <wp:inline distT="0" distB="0" distL="0" distR="0">
            <wp:extent cx="5943600" cy="267837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678371"/>
                    </a:xfrm>
                    <a:prstGeom prst="rect">
                      <a:avLst/>
                    </a:prstGeom>
                    <a:noFill/>
                    <a:ln>
                      <a:noFill/>
                    </a:ln>
                  </pic:spPr>
                </pic:pic>
              </a:graphicData>
            </a:graphic>
          </wp:inline>
        </w:drawing>
      </w:r>
    </w:p>
    <w:p w:rsidR="003270B9" w:rsidRPr="00F35F54" w:rsidRDefault="003270B9" w:rsidP="003270B9">
      <w:pPr>
        <w:pStyle w:val="Default"/>
        <w:rPr>
          <w:rFonts w:asciiTheme="minorHAnsi" w:hAnsiTheme="minorHAnsi"/>
          <w:sz w:val="22"/>
          <w:szCs w:val="22"/>
        </w:rPr>
      </w:pPr>
      <w:r w:rsidRPr="00F35F54">
        <w:rPr>
          <w:rFonts w:asciiTheme="minorHAnsi" w:hAnsiTheme="minorHAnsi"/>
          <w:sz w:val="22"/>
          <w:szCs w:val="22"/>
        </w:rPr>
        <w:t>Total Projected Expenditures FY 2022</w:t>
      </w:r>
    </w:p>
    <w:p w:rsidR="003270B9" w:rsidRPr="00F35F54" w:rsidRDefault="003270B9" w:rsidP="003270B9">
      <w:pPr>
        <w:pStyle w:val="Default"/>
        <w:rPr>
          <w:rFonts w:asciiTheme="minorHAnsi" w:hAnsiTheme="minorHAnsi" w:cs="Franklin Gothic Book"/>
          <w:sz w:val="22"/>
          <w:szCs w:val="22"/>
        </w:rPr>
      </w:pPr>
      <w:r w:rsidRPr="00F35F54">
        <w:rPr>
          <w:rFonts w:asciiTheme="minorHAnsi" w:hAnsiTheme="minorHAnsi" w:cs="Franklin Gothic Book"/>
          <w:sz w:val="22"/>
          <w:szCs w:val="22"/>
        </w:rPr>
        <w:t>TOTAL PROJECTED EXPENDITURES: $887 MILLION</w:t>
      </w:r>
    </w:p>
    <w:p w:rsidR="003270B9" w:rsidRPr="00F35F54" w:rsidRDefault="003270B9" w:rsidP="003270B9">
      <w:pPr>
        <w:pStyle w:val="Default"/>
        <w:rPr>
          <w:rFonts w:asciiTheme="minorHAnsi" w:hAnsiTheme="minorHAnsi" w:cs="Franklin Gothic Book"/>
          <w:sz w:val="22"/>
          <w:szCs w:val="22"/>
        </w:rPr>
      </w:pPr>
      <w:r w:rsidRPr="00F35F54">
        <w:rPr>
          <w:rFonts w:asciiTheme="minorHAnsi" w:hAnsiTheme="minorHAnsi" w:cs="Franklin Gothic Book"/>
          <w:sz w:val="22"/>
          <w:szCs w:val="22"/>
        </w:rPr>
        <w:t>●Planning</w:t>
      </w:r>
    </w:p>
    <w:p w:rsidR="003270B9" w:rsidRPr="00F35F54" w:rsidRDefault="003270B9" w:rsidP="003270B9">
      <w:pPr>
        <w:pStyle w:val="Default"/>
        <w:rPr>
          <w:rFonts w:asciiTheme="minorHAnsi" w:hAnsiTheme="minorHAnsi" w:cs="Franklin Gothic Book"/>
          <w:sz w:val="22"/>
          <w:szCs w:val="22"/>
        </w:rPr>
      </w:pPr>
      <w:r w:rsidRPr="00F35F54">
        <w:rPr>
          <w:rFonts w:asciiTheme="minorHAnsi" w:hAnsiTheme="minorHAnsi" w:cs="Franklin Gothic Book"/>
          <w:sz w:val="22"/>
          <w:szCs w:val="22"/>
        </w:rPr>
        <w:t>●Engineering &amp; Design</w:t>
      </w:r>
    </w:p>
    <w:p w:rsidR="003270B9" w:rsidRPr="00F35F54" w:rsidRDefault="003270B9" w:rsidP="003270B9">
      <w:pPr>
        <w:pStyle w:val="Default"/>
        <w:rPr>
          <w:rFonts w:asciiTheme="minorHAnsi" w:hAnsiTheme="minorHAnsi" w:cs="Franklin Gothic Book"/>
          <w:sz w:val="22"/>
          <w:szCs w:val="22"/>
        </w:rPr>
      </w:pPr>
      <w:r w:rsidRPr="00F35F54">
        <w:rPr>
          <w:rFonts w:asciiTheme="minorHAnsi" w:hAnsiTheme="minorHAnsi" w:cs="Franklin Gothic Book"/>
          <w:sz w:val="22"/>
          <w:szCs w:val="22"/>
        </w:rPr>
        <w:t>●Construction</w:t>
      </w:r>
    </w:p>
    <w:p w:rsidR="003270B9" w:rsidRPr="00F35F54" w:rsidRDefault="003270B9" w:rsidP="003270B9">
      <w:pPr>
        <w:pStyle w:val="Default"/>
        <w:rPr>
          <w:rFonts w:asciiTheme="minorHAnsi" w:hAnsiTheme="minorHAnsi" w:cs="Franklin Gothic Book"/>
          <w:sz w:val="22"/>
          <w:szCs w:val="22"/>
        </w:rPr>
      </w:pPr>
      <w:r w:rsidRPr="00F35F54">
        <w:rPr>
          <w:rFonts w:asciiTheme="minorHAnsi" w:hAnsiTheme="minorHAnsi" w:cs="Franklin Gothic Book"/>
          <w:sz w:val="22"/>
          <w:szCs w:val="22"/>
        </w:rPr>
        <w:t>●Operation, Maintenance &amp; Monitoring</w:t>
      </w:r>
    </w:p>
    <w:p w:rsidR="003270B9" w:rsidRPr="00F35F54" w:rsidRDefault="003270B9" w:rsidP="003270B9">
      <w:pPr>
        <w:pStyle w:val="Default"/>
        <w:rPr>
          <w:rFonts w:asciiTheme="minorHAnsi" w:hAnsiTheme="minorHAnsi" w:cs="Franklin Gothic Book"/>
          <w:sz w:val="22"/>
          <w:szCs w:val="22"/>
        </w:rPr>
      </w:pPr>
      <w:r w:rsidRPr="00F35F54">
        <w:rPr>
          <w:rFonts w:asciiTheme="minorHAnsi" w:hAnsiTheme="minorHAnsi" w:cs="Franklin Gothic Book"/>
          <w:sz w:val="22"/>
          <w:szCs w:val="22"/>
        </w:rPr>
        <w:t>●Ongoing Programs &amp; Initiatives</w:t>
      </w:r>
    </w:p>
    <w:p w:rsidR="003270B9" w:rsidRDefault="003270B9" w:rsidP="003270B9">
      <w:pPr>
        <w:rPr>
          <w:rFonts w:cs="Franklin Gothic Book"/>
        </w:rPr>
      </w:pPr>
      <w:r w:rsidRPr="00F35F54">
        <w:rPr>
          <w:rFonts w:cs="Franklin Gothic Book"/>
        </w:rPr>
        <w:t>●Operating Costs</w:t>
      </w:r>
    </w:p>
    <w:p w:rsidR="003270B9" w:rsidRDefault="003270B9" w:rsidP="003270B9">
      <w:pPr>
        <w:pStyle w:val="ListParagraph"/>
      </w:pPr>
      <w:r w:rsidRPr="008D74CC">
        <w:rPr>
          <w:noProof/>
        </w:rPr>
        <w:drawing>
          <wp:inline distT="0" distB="0" distL="0" distR="0" wp14:anchorId="1E335BFD" wp14:editId="335CBEF8">
            <wp:extent cx="5943600" cy="3309354"/>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09354"/>
                    </a:xfrm>
                    <a:prstGeom prst="rect">
                      <a:avLst/>
                    </a:prstGeom>
                    <a:noFill/>
                    <a:ln>
                      <a:noFill/>
                    </a:ln>
                  </pic:spPr>
                </pic:pic>
              </a:graphicData>
            </a:graphic>
          </wp:inline>
        </w:drawing>
      </w:r>
    </w:p>
    <w:p w:rsidR="003270B9" w:rsidRDefault="003270B9" w:rsidP="003270B9">
      <w:r>
        <w:t>Reviewed current and upcoming projects and the Mid-</w:t>
      </w:r>
      <w:proofErr w:type="spellStart"/>
      <w:r>
        <w:t>Barataria</w:t>
      </w:r>
      <w:proofErr w:type="spellEnd"/>
      <w:r>
        <w:t xml:space="preserve"> Sediment Diversion project</w:t>
      </w:r>
    </w:p>
    <w:p w:rsidR="003270B9" w:rsidRDefault="003270B9" w:rsidP="003270B9">
      <w:r>
        <w:t>Mid-</w:t>
      </w:r>
      <w:proofErr w:type="spellStart"/>
      <w:r>
        <w:t>Barataria</w:t>
      </w:r>
      <w:proofErr w:type="spellEnd"/>
      <w:r>
        <w:t xml:space="preserve"> Sediment Diversion Project</w:t>
      </w:r>
    </w:p>
    <w:p w:rsidR="003270B9" w:rsidRDefault="003270B9" w:rsidP="003270B9">
      <w:r w:rsidRPr="003270B9">
        <w:rPr>
          <w:noProof/>
        </w:rPr>
        <w:drawing>
          <wp:inline distT="0" distB="0" distL="0" distR="0">
            <wp:extent cx="5943600" cy="3058921"/>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058921"/>
                    </a:xfrm>
                    <a:prstGeom prst="rect">
                      <a:avLst/>
                    </a:prstGeom>
                    <a:noFill/>
                    <a:ln>
                      <a:noFill/>
                    </a:ln>
                  </pic:spPr>
                </pic:pic>
              </a:graphicData>
            </a:graphic>
          </wp:inline>
        </w:drawing>
      </w:r>
    </w:p>
    <w:p w:rsidR="003270B9" w:rsidRDefault="003270B9" w:rsidP="003270B9">
      <w:r w:rsidRPr="003270B9">
        <w:rPr>
          <w:noProof/>
        </w:rPr>
        <w:drawing>
          <wp:inline distT="0" distB="0" distL="0" distR="0">
            <wp:extent cx="5943600" cy="32028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202864"/>
                    </a:xfrm>
                    <a:prstGeom prst="rect">
                      <a:avLst/>
                    </a:prstGeom>
                    <a:noFill/>
                    <a:ln>
                      <a:noFill/>
                    </a:ln>
                  </pic:spPr>
                </pic:pic>
              </a:graphicData>
            </a:graphic>
          </wp:inline>
        </w:drawing>
      </w:r>
    </w:p>
    <w:p w:rsidR="00B15BBA" w:rsidRDefault="003270B9" w:rsidP="00B15BBA">
      <w:pPr>
        <w:spacing w:line="240" w:lineRule="auto"/>
      </w:pPr>
      <w:r w:rsidRPr="003270B9">
        <w:rPr>
          <w:noProof/>
        </w:rPr>
        <w:drawing>
          <wp:inline distT="0" distB="0" distL="0" distR="0">
            <wp:extent cx="5943600" cy="28640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864069"/>
                    </a:xfrm>
                    <a:prstGeom prst="rect">
                      <a:avLst/>
                    </a:prstGeom>
                    <a:noFill/>
                    <a:ln>
                      <a:noFill/>
                    </a:ln>
                  </pic:spPr>
                </pic:pic>
              </a:graphicData>
            </a:graphic>
          </wp:inline>
        </w:drawing>
      </w:r>
    </w:p>
    <w:p w:rsidR="00277ED0" w:rsidRDefault="00277ED0" w:rsidP="00B15BBA">
      <w:pPr>
        <w:spacing w:line="240" w:lineRule="auto"/>
      </w:pPr>
      <w:r>
        <w:t xml:space="preserve">James </w:t>
      </w:r>
      <w:proofErr w:type="spellStart"/>
      <w:r>
        <w:t>Pelas</w:t>
      </w:r>
      <w:proofErr w:type="spellEnd"/>
      <w:r>
        <w:t xml:space="preserve"> asked why can’t sediment be dredged for land creation</w:t>
      </w:r>
      <w:r w:rsidR="00A82E1C">
        <w:t xml:space="preserve"> instead of a </w:t>
      </w:r>
      <w:proofErr w:type="gramStart"/>
      <w:r w:rsidR="00A82E1C">
        <w:t>diversion</w:t>
      </w:r>
      <w:r>
        <w:t>?</w:t>
      </w:r>
      <w:proofErr w:type="gramEnd"/>
    </w:p>
    <w:p w:rsidR="00277ED0" w:rsidRDefault="00277ED0" w:rsidP="00B15BBA">
      <w:pPr>
        <w:spacing w:line="240" w:lineRule="auto"/>
      </w:pPr>
      <w:r>
        <w:t>Brian Lezina stated that they are still pumping that’s the number one bread and butter in the plan, but when you look at it long term it’s not sustainable in a lot of those areas, something that addresses the cause of the land loss</w:t>
      </w:r>
    </w:p>
    <w:p w:rsidR="00277ED0" w:rsidRDefault="00A82E1C" w:rsidP="00B15BBA">
      <w:pPr>
        <w:spacing w:line="240" w:lineRule="auto"/>
      </w:pPr>
      <w:r>
        <w:t>Daniel Edgar stated that there is a lot of emphasis on land building, who is in charge on when to open these structures? Believes that whoever is in control of the structures opening/ closing should include and consider the input of seafood industry members and or scientists on the best times to open/close</w:t>
      </w:r>
    </w:p>
    <w:p w:rsidR="00A82E1C" w:rsidRDefault="00ED0C3F" w:rsidP="00B15BBA">
      <w:pPr>
        <w:spacing w:line="240" w:lineRule="auto"/>
      </w:pPr>
      <w:r>
        <w:t xml:space="preserve">Acy Cooper, III stated that the Plaquemines Parish government just voted in opposition of the diversion, the LA Shrimp, Oyster and Crab Task Forces all voted in opposition, would like to know how the Finfish Task Force feels about the diversion </w:t>
      </w:r>
    </w:p>
    <w:p w:rsidR="00A17D98" w:rsidRDefault="00A17D98" w:rsidP="00B15BBA">
      <w:pPr>
        <w:spacing w:line="240" w:lineRule="auto"/>
      </w:pPr>
      <w:r>
        <w:t xml:space="preserve">Ben Graham stated that the FTF is an advisory board, we do not have an authority to make any types of laws, rules, regulations, or requirements, just here to hear public input and advise the LDWF Commission on recommendations </w:t>
      </w:r>
    </w:p>
    <w:p w:rsidR="00D47114" w:rsidRDefault="00A17D98" w:rsidP="00B15BBA">
      <w:pPr>
        <w:spacing w:line="240" w:lineRule="auto"/>
      </w:pPr>
      <w:r>
        <w:t xml:space="preserve">Acy Cooper, Jr. stated that in the past recreational fishermen held </w:t>
      </w:r>
      <w:r w:rsidR="00D47114">
        <w:t>voting seats on Davis Pond, feels</w:t>
      </w:r>
      <w:r w:rsidR="005E53C3">
        <w:t xml:space="preserve"> that the input of the industry members will not be taken into account regardless</w:t>
      </w:r>
    </w:p>
    <w:p w:rsidR="00A17D98" w:rsidRDefault="00D47114" w:rsidP="00B15BBA">
      <w:pPr>
        <w:spacing w:line="240" w:lineRule="auto"/>
      </w:pPr>
      <w:r>
        <w:t>Daniel Edgar asked if Brian Lezina could inquire about incorporating the input of the commercial a</w:t>
      </w:r>
      <w:r w:rsidR="007C3AD5">
        <w:t>nd recreational fishing industries</w:t>
      </w:r>
      <w:r>
        <w:t xml:space="preserve"> and biologist</w:t>
      </w:r>
      <w:r w:rsidR="007C3AD5">
        <w:t>s</w:t>
      </w:r>
      <w:r>
        <w:t xml:space="preserve"> input when considering opening and closing the structure</w:t>
      </w:r>
    </w:p>
    <w:p w:rsidR="00F3605A" w:rsidRDefault="00F3605A" w:rsidP="00B15BBA">
      <w:pPr>
        <w:spacing w:line="240" w:lineRule="auto"/>
      </w:pPr>
      <w:r>
        <w:t>Daryl Simon stated that he does not see any real benefit for the commercial fishing industry</w:t>
      </w:r>
    </w:p>
    <w:p w:rsidR="00F3605A" w:rsidRDefault="00DC06F8" w:rsidP="00B15BBA">
      <w:pPr>
        <w:spacing w:line="240" w:lineRule="auto"/>
      </w:pPr>
      <w:r>
        <w:t xml:space="preserve">Acy Cooper, III motioned that the Finfish Task Force write a letter in opposition of the Mid </w:t>
      </w:r>
      <w:proofErr w:type="spellStart"/>
      <w:r>
        <w:t>Barata</w:t>
      </w:r>
      <w:r w:rsidR="00084473">
        <w:t>ria</w:t>
      </w:r>
      <w:proofErr w:type="spellEnd"/>
      <w:r w:rsidR="00084473">
        <w:t xml:space="preserve"> Sediment Diversion, 2</w:t>
      </w:r>
      <w:r w:rsidR="00084473" w:rsidRPr="00084473">
        <w:rPr>
          <w:vertAlign w:val="superscript"/>
        </w:rPr>
        <w:t>nd</w:t>
      </w:r>
      <w:r w:rsidR="00084473">
        <w:t xml:space="preserve"> by James </w:t>
      </w:r>
      <w:proofErr w:type="spellStart"/>
      <w:r w:rsidR="00084473">
        <w:t>Pelas</w:t>
      </w:r>
      <w:proofErr w:type="spellEnd"/>
      <w:r w:rsidR="00084473">
        <w:t xml:space="preserve">. </w:t>
      </w:r>
      <w:r w:rsidR="00026A69">
        <w:t>Motion does not carry with 4 no, 3 yes, 1 abstained</w:t>
      </w:r>
    </w:p>
    <w:p w:rsidR="00026A69" w:rsidRDefault="00026A69" w:rsidP="00026A69">
      <w:pPr>
        <w:pStyle w:val="ListParagraph"/>
        <w:numPr>
          <w:ilvl w:val="0"/>
          <w:numId w:val="1"/>
        </w:numPr>
        <w:spacing w:line="240" w:lineRule="auto"/>
      </w:pPr>
      <w:r>
        <w:t>Jason Adriance led discussion on the status of speckled trout</w:t>
      </w:r>
    </w:p>
    <w:p w:rsidR="00026A69" w:rsidRDefault="00026A69" w:rsidP="00026A69">
      <w:pPr>
        <w:spacing w:line="240" w:lineRule="auto"/>
      </w:pPr>
      <w:r>
        <w:t>A brief breakdown of the timeline of what has happened with trout and wh</w:t>
      </w:r>
      <w:r w:rsidR="00396DCF">
        <w:t>ere we are going moving forward:</w:t>
      </w:r>
      <w:r>
        <w:t xml:space="preserve"> In September 2019 we presented an assessment to the LDWF Commission that showed the spotted sea trout </w:t>
      </w:r>
      <w:r w:rsidR="00396DCF">
        <w:t>stock</w:t>
      </w:r>
      <w:r>
        <w:t xml:space="preserve"> was overfished and undergoing overfishing, it was the lowest biomass we have seen on record of conducting that assessment and overfishing had been occurring in six out of the last ten years. We then presented management options to the LDWF Commission </w:t>
      </w:r>
      <w:r w:rsidR="00396DCF">
        <w:t xml:space="preserve">in January of 2020 and from this came a variety of recommendations but they all included a 20% harvest reduction and a five year rebuild of the stock and at that point the Commission directed us to get public input. In February of 2020 LDWF held eight statewide public meetings. Those public meetings included a presentation with embedded survey questions and from those questions we gathered data. </w:t>
      </w:r>
      <w:r w:rsidR="008A30EA">
        <w:t xml:space="preserve">Following those meetings there was a slight pause due to the pandemic and we picked back up with an email survey in May 2020. We sent out approximately 11,000 random emails to license holders and we opened that same survey up to the general public on our website that month. We gathered all the collected input and in August of 2020 it was presented to the LDWF Commission. Then went back to the LDWF Commission in October 2020 and presented them with a Notice of Intent to reduce the bag limit to 15 fish at a 13 and half inch size limit minimum size limit. The Commission chose not to move that Notice of Intent forward </w:t>
      </w:r>
      <w:r w:rsidR="00036E09">
        <w:t xml:space="preserve">and they directed us to come back to them in one year. So in October of 2021, with new information at a basin level, we will go back to the Commission. </w:t>
      </w:r>
    </w:p>
    <w:p w:rsidR="00036E09" w:rsidRDefault="00036E09" w:rsidP="00026A69">
      <w:pPr>
        <w:spacing w:line="240" w:lineRule="auto"/>
      </w:pPr>
      <w:r>
        <w:t>Have seen Gulf-wide spotted sea trout declines</w:t>
      </w:r>
    </w:p>
    <w:p w:rsidR="00036E09" w:rsidRDefault="00036E09" w:rsidP="00026A69">
      <w:pPr>
        <w:spacing w:line="240" w:lineRule="auto"/>
      </w:pPr>
      <w:r>
        <w:t xml:space="preserve">Daniel Edgar asked what is the reason for the </w:t>
      </w:r>
      <w:proofErr w:type="gramStart"/>
      <w:r>
        <w:t>decline?</w:t>
      </w:r>
      <w:proofErr w:type="gramEnd"/>
    </w:p>
    <w:p w:rsidR="00036E09" w:rsidRDefault="00036E09" w:rsidP="00026A69">
      <w:pPr>
        <w:spacing w:line="240" w:lineRule="auto"/>
      </w:pPr>
      <w:r>
        <w:t>Jason Adriance stated that fishing mortality is extremely high the removals by angling. There is virtually no commercial fishing, the landings are virtually no</w:t>
      </w:r>
      <w:r w:rsidR="00462CDD">
        <w:t xml:space="preserve">n-existent it’s a very small fishery. What has also happened is that the age structure of the species has been severely truncated. Not seeing recruitment issues, recruitment is pretty steady </w:t>
      </w:r>
      <w:r w:rsidR="006414A1">
        <w:t>and those fish are recruiting into the fishery and at that point they’re being removed. When y</w:t>
      </w:r>
      <w:r w:rsidR="00581EFC">
        <w:t xml:space="preserve">ou look at population it’s all 0-1 year olds and very few two and three year olds </w:t>
      </w:r>
    </w:p>
    <w:p w:rsidR="00084473" w:rsidRDefault="00581EFC" w:rsidP="00B15BBA">
      <w:pPr>
        <w:spacing w:line="240" w:lineRule="auto"/>
      </w:pPr>
      <w:r>
        <w:t>Daniel Edgar stated that initially when they were looking at the size limits, was for 14 inches, which gives a speckled trout a guaranteed time to spawn. As the measurement stands right now, if y</w:t>
      </w:r>
      <w:r w:rsidR="00EB2CA5">
        <w:t>ou don’t catch her she is going to spawn but if you do catch her she will not spawn. If the size limit was bumped up to 14 inches you are guaranteed a be</w:t>
      </w:r>
      <w:r w:rsidR="000E67F6">
        <w:t>tter opportunity for the spawn</w:t>
      </w:r>
    </w:p>
    <w:p w:rsidR="00D47114" w:rsidRDefault="000E67F6" w:rsidP="00B15BBA">
      <w:pPr>
        <w:pStyle w:val="ListParagraph"/>
        <w:numPr>
          <w:ilvl w:val="0"/>
          <w:numId w:val="1"/>
        </w:numPr>
        <w:spacing w:line="240" w:lineRule="auto"/>
      </w:pPr>
      <w:r>
        <w:t>Jason Adriance led discussion on the status of Southern Flounder</w:t>
      </w:r>
    </w:p>
    <w:p w:rsidR="000E67F6" w:rsidRDefault="000E67F6" w:rsidP="007D2E4E">
      <w:pPr>
        <w:spacing w:line="240" w:lineRule="auto"/>
      </w:pPr>
      <w:r>
        <w:t xml:space="preserve">February 2020 was the newest assessment on southern flounder, the assessment came back with the stock being over fished </w:t>
      </w:r>
      <w:r w:rsidR="00990DB1">
        <w:t>but not undergoing overfishing. So the spawning stock biomass is too low</w:t>
      </w:r>
      <w:r w:rsidR="00345605">
        <w:t xml:space="preserve">, it wasn’t a fishing removals issue. We informed the LDWF Commission that we would be putting together management scenarios. In February 2021, we came back to the Commission with some manic potential management options </w:t>
      </w:r>
      <w:r w:rsidR="0098612F">
        <w:t xml:space="preserve">and the gist of those options are to reduce mature female harvest by 50%. </w:t>
      </w:r>
      <w:r w:rsidR="009756EE">
        <w:t xml:space="preserve">This option will get us above our threshold but it will still not rebuild that population to the target that’s established. It would build it to a reduced target of a 30% SPR, which is one of the old conservation measures. The Commission at that time requested that we run some additional management scenarios on an expanded seasonal closure. So in the management scenarios the only way to get to 50% would involve a complete November closure and also an adjustment to our ability to regulate the commercial harvest of flounder in that fall/ winter timeframe. There is currently legislation that limits our ability to reduce the commercial trawl bycatch. There is legislation that allows any and all flounder caught incidentally on a shrimping trip to be kept. </w:t>
      </w:r>
      <w:r w:rsidR="009D1B26">
        <w:t xml:space="preserve">The way the legislation is worded, even if the Commission were to put rules in place that legislation supersedes Commission rule when it comes to incidental bycatch. Any scenarios that we ran would require that legislation to change in order to be effective and rebuild that stock to the management recommendation we put in place. One thing that might help if established, is a finfish trawl license. </w:t>
      </w:r>
    </w:p>
    <w:p w:rsidR="007D2E4E" w:rsidRPr="007D2E4E" w:rsidRDefault="007D2E4E" w:rsidP="007D2E4E">
      <w:pPr>
        <w:spacing w:line="240" w:lineRule="auto"/>
      </w:pPr>
    </w:p>
    <w:p w:rsidR="000E67F6" w:rsidRPr="007D2E4E" w:rsidRDefault="000E67F6" w:rsidP="000E67F6">
      <w:pPr>
        <w:autoSpaceDE w:val="0"/>
        <w:autoSpaceDN w:val="0"/>
        <w:adjustRightInd w:val="0"/>
        <w:spacing w:after="0" w:line="240" w:lineRule="auto"/>
        <w:jc w:val="center"/>
        <w:rPr>
          <w:rFonts w:cs="Times New Roman"/>
          <w:color w:val="000000"/>
        </w:rPr>
      </w:pPr>
      <w:r w:rsidRPr="007D2E4E">
        <w:rPr>
          <w:rFonts w:cs="Times New Roman"/>
          <w:b/>
          <w:bCs/>
          <w:color w:val="000000"/>
        </w:rPr>
        <w:t>Southern Flounder Management Scenarios</w:t>
      </w:r>
    </w:p>
    <w:p w:rsidR="000E67F6" w:rsidRPr="007D2E4E" w:rsidRDefault="000E67F6" w:rsidP="000E67F6">
      <w:pPr>
        <w:autoSpaceDE w:val="0"/>
        <w:autoSpaceDN w:val="0"/>
        <w:adjustRightInd w:val="0"/>
        <w:spacing w:after="0" w:line="240" w:lineRule="auto"/>
        <w:jc w:val="center"/>
        <w:rPr>
          <w:rFonts w:cs="Times New Roman"/>
          <w:color w:val="000000"/>
        </w:rPr>
      </w:pPr>
      <w:r w:rsidRPr="007D2E4E">
        <w:rPr>
          <w:rFonts w:cs="Times New Roman"/>
          <w:color w:val="000000"/>
        </w:rPr>
        <w:t xml:space="preserve">Joe West, Taylor </w:t>
      </w:r>
      <w:proofErr w:type="spellStart"/>
      <w:r w:rsidRPr="007D2E4E">
        <w:rPr>
          <w:rFonts w:cs="Times New Roman"/>
          <w:color w:val="000000"/>
        </w:rPr>
        <w:t>Allgood</w:t>
      </w:r>
      <w:proofErr w:type="spellEnd"/>
      <w:r w:rsidRPr="007D2E4E">
        <w:rPr>
          <w:rFonts w:cs="Times New Roman"/>
          <w:color w:val="000000"/>
        </w:rPr>
        <w:t xml:space="preserve">, </w:t>
      </w:r>
      <w:proofErr w:type="spellStart"/>
      <w:r w:rsidRPr="007D2E4E">
        <w:rPr>
          <w:rFonts w:cs="Times New Roman"/>
          <w:color w:val="000000"/>
        </w:rPr>
        <w:t>Xinan</w:t>
      </w:r>
      <w:proofErr w:type="spellEnd"/>
      <w:r w:rsidRPr="007D2E4E">
        <w:rPr>
          <w:rFonts w:cs="Times New Roman"/>
          <w:color w:val="000000"/>
        </w:rPr>
        <w:t xml:space="preserve"> Zhang, and Jason Adriance</w:t>
      </w:r>
    </w:p>
    <w:p w:rsidR="000E67F6" w:rsidRPr="007D2E4E" w:rsidRDefault="000E67F6" w:rsidP="000E67F6">
      <w:pPr>
        <w:autoSpaceDE w:val="0"/>
        <w:autoSpaceDN w:val="0"/>
        <w:adjustRightInd w:val="0"/>
        <w:spacing w:after="0" w:line="240" w:lineRule="auto"/>
        <w:jc w:val="center"/>
        <w:rPr>
          <w:rFonts w:cs="Times New Roman"/>
          <w:color w:val="000000"/>
        </w:rPr>
      </w:pPr>
      <w:r w:rsidRPr="007D2E4E">
        <w:rPr>
          <w:rFonts w:cs="Times New Roman"/>
          <w:color w:val="000000"/>
        </w:rPr>
        <w:t>Office of Fisheries</w:t>
      </w:r>
    </w:p>
    <w:p w:rsidR="000E67F6" w:rsidRPr="007D2E4E" w:rsidRDefault="000E67F6" w:rsidP="000E67F6">
      <w:pPr>
        <w:pStyle w:val="ListParagraph"/>
        <w:autoSpaceDE w:val="0"/>
        <w:autoSpaceDN w:val="0"/>
        <w:adjustRightInd w:val="0"/>
        <w:spacing w:after="0" w:line="240" w:lineRule="auto"/>
        <w:jc w:val="center"/>
        <w:rPr>
          <w:rFonts w:cs="Times New Roman"/>
          <w:color w:val="000000"/>
        </w:rPr>
      </w:pPr>
      <w:r w:rsidRPr="007D2E4E">
        <w:rPr>
          <w:rFonts w:cs="Times New Roman"/>
          <w:color w:val="000000"/>
        </w:rPr>
        <w:t>Louisiana Department of Wildlife and Fisheries</w:t>
      </w:r>
    </w:p>
    <w:p w:rsidR="000E67F6" w:rsidRPr="007D2E4E" w:rsidRDefault="000E67F6" w:rsidP="000E67F6">
      <w:pPr>
        <w:autoSpaceDE w:val="0"/>
        <w:autoSpaceDN w:val="0"/>
        <w:adjustRightInd w:val="0"/>
        <w:spacing w:after="0" w:line="240" w:lineRule="auto"/>
        <w:rPr>
          <w:rFonts w:cs="Times New Roman"/>
          <w:color w:val="000000"/>
        </w:rPr>
      </w:pPr>
      <w:r w:rsidRPr="007D2E4E">
        <w:rPr>
          <w:rFonts w:cs="Times New Roman"/>
          <w:color w:val="000000"/>
        </w:rPr>
        <w:t xml:space="preserve">Overview: </w:t>
      </w:r>
    </w:p>
    <w:p w:rsidR="000E67F6" w:rsidRPr="007D2E4E" w:rsidRDefault="000E67F6" w:rsidP="000E67F6">
      <w:pPr>
        <w:autoSpaceDE w:val="0"/>
        <w:autoSpaceDN w:val="0"/>
        <w:adjustRightInd w:val="0"/>
        <w:spacing w:after="0" w:line="240" w:lineRule="auto"/>
        <w:rPr>
          <w:rFonts w:cs="Times New Roman"/>
          <w:color w:val="000000"/>
        </w:rPr>
      </w:pPr>
      <w:r w:rsidRPr="007D2E4E">
        <w:rPr>
          <w:rFonts w:cs="Times New Roman"/>
          <w:color w:val="000000"/>
        </w:rPr>
        <w:t xml:space="preserve">The simulated projections of the Louisiana southern flounder stock presented in this report use the parameter values and population dynamics model of the most recent Louisiana Department of Wildlife and Fisheries (LDWF) southern flounder stock assessment (West et al. 2019). To remain in the same currency as the stock assessment, the stock projections and fishery reductions presented in this report represent only the female proportion of the population and landings. </w:t>
      </w:r>
    </w:p>
    <w:p w:rsidR="000E67F6" w:rsidRPr="007D2E4E" w:rsidRDefault="000E67F6" w:rsidP="000E67F6">
      <w:pPr>
        <w:autoSpaceDE w:val="0"/>
        <w:autoSpaceDN w:val="0"/>
        <w:adjustRightInd w:val="0"/>
        <w:spacing w:after="0" w:line="240" w:lineRule="auto"/>
        <w:rPr>
          <w:rFonts w:cs="Times New Roman"/>
          <w:color w:val="000000"/>
        </w:rPr>
      </w:pPr>
    </w:p>
    <w:p w:rsidR="000E67F6" w:rsidRPr="007D2E4E" w:rsidRDefault="000E67F6" w:rsidP="000E67F6">
      <w:pPr>
        <w:autoSpaceDE w:val="0"/>
        <w:autoSpaceDN w:val="0"/>
        <w:adjustRightInd w:val="0"/>
        <w:spacing w:after="0" w:line="240" w:lineRule="auto"/>
        <w:rPr>
          <w:rFonts w:cs="Times New Roman"/>
          <w:color w:val="000000"/>
        </w:rPr>
      </w:pPr>
      <w:r w:rsidRPr="007D2E4E">
        <w:rPr>
          <w:rFonts w:cs="Times New Roman"/>
          <w:color w:val="000000"/>
        </w:rPr>
        <w:t xml:space="preserve">Stock </w:t>
      </w:r>
      <w:proofErr w:type="gramStart"/>
      <w:r w:rsidRPr="007D2E4E">
        <w:rPr>
          <w:rFonts w:cs="Times New Roman"/>
          <w:color w:val="000000"/>
        </w:rPr>
        <w:t>Projections :</w:t>
      </w:r>
      <w:proofErr w:type="gramEnd"/>
    </w:p>
    <w:p w:rsidR="000E67F6" w:rsidRPr="007D2E4E" w:rsidRDefault="000E67F6" w:rsidP="000E67F6">
      <w:pPr>
        <w:autoSpaceDE w:val="0"/>
        <w:autoSpaceDN w:val="0"/>
        <w:adjustRightInd w:val="0"/>
        <w:spacing w:after="0" w:line="240" w:lineRule="auto"/>
        <w:rPr>
          <w:rFonts w:cs="Times New Roman"/>
          <w:color w:val="000000"/>
        </w:rPr>
      </w:pPr>
      <w:r w:rsidRPr="007D2E4E">
        <w:rPr>
          <w:rFonts w:cs="Times New Roman"/>
          <w:color w:val="000000"/>
        </w:rPr>
        <w:t xml:space="preserve">Management scenarios representing reductions in mature female yield were projected forward ten years from 2020 (Table 1; Figure 1) by reducing total apical fishing mortality rates corresponding with specific percent reductions in equilibrium female yield (0 to 100% reductions by 10% increments). Reductions in mature female yield were calculated as the product of equilibrium female yield and the current proportion of the equilibrium female population that is mature. </w:t>
      </w:r>
    </w:p>
    <w:p w:rsidR="000E67F6" w:rsidRPr="007D2E4E" w:rsidRDefault="000E67F6" w:rsidP="000E67F6">
      <w:pPr>
        <w:autoSpaceDE w:val="0"/>
        <w:autoSpaceDN w:val="0"/>
        <w:adjustRightInd w:val="0"/>
        <w:spacing w:after="0" w:line="240" w:lineRule="auto"/>
        <w:rPr>
          <w:rFonts w:cs="Times New Roman"/>
          <w:color w:val="000000"/>
        </w:rPr>
      </w:pPr>
      <w:r w:rsidRPr="007D2E4E">
        <w:rPr>
          <w:rFonts w:cs="Times New Roman"/>
          <w:color w:val="000000"/>
        </w:rPr>
        <w:t xml:space="preserve">The ten-year projection was conducted by assuming future recruitment levels as the geometric mean of the most recent five-years of recruitment estimates (2014-2018). The projection from the </w:t>
      </w:r>
      <w:proofErr w:type="gramStart"/>
      <w:r w:rsidRPr="007D2E4E">
        <w:rPr>
          <w:rFonts w:cs="Times New Roman"/>
          <w:color w:val="000000"/>
        </w:rPr>
        <w:t>terminal</w:t>
      </w:r>
      <w:proofErr w:type="gramEnd"/>
      <w:r w:rsidRPr="007D2E4E">
        <w:rPr>
          <w:rFonts w:cs="Times New Roman"/>
          <w:color w:val="000000"/>
        </w:rPr>
        <w:t xml:space="preserve"> year of the assessment through 2020 held fishing mortality rates constant. Projected population metrics are spawning stock biomass (SSB) and the spawning potential ratio (SPR). </w:t>
      </w:r>
    </w:p>
    <w:p w:rsidR="000E67F6" w:rsidRPr="007D2E4E" w:rsidRDefault="000E67F6" w:rsidP="000E67F6">
      <w:pPr>
        <w:autoSpaceDE w:val="0"/>
        <w:autoSpaceDN w:val="0"/>
        <w:adjustRightInd w:val="0"/>
        <w:spacing w:after="0" w:line="240" w:lineRule="auto"/>
        <w:rPr>
          <w:rFonts w:cs="Times New Roman"/>
          <w:color w:val="000000"/>
        </w:rPr>
      </w:pPr>
      <w:r w:rsidRPr="007D2E4E">
        <w:rPr>
          <w:rFonts w:cs="Times New Roman"/>
          <w:color w:val="000000"/>
        </w:rPr>
        <w:t xml:space="preserve">In each projection, 2021 represents the first full year of new regulation implementation. If regulations are implemented during the course of 2021, the effects of those measures would be to </w:t>
      </w:r>
      <w:proofErr w:type="gramStart"/>
      <w:r w:rsidRPr="007D2E4E">
        <w:rPr>
          <w:rFonts w:cs="Times New Roman"/>
          <w:color w:val="000000"/>
        </w:rPr>
        <w:t>a</w:t>
      </w:r>
      <w:proofErr w:type="gramEnd"/>
      <w:r w:rsidRPr="007D2E4E">
        <w:rPr>
          <w:rFonts w:cs="Times New Roman"/>
          <w:color w:val="000000"/>
        </w:rPr>
        <w:t xml:space="preserve"> lesser extent than a full year. In such a case, specific values of each following year would be different, but the population trajectories would remain consistent with those reported here. </w:t>
      </w:r>
    </w:p>
    <w:p w:rsidR="000E67F6" w:rsidRPr="007D2E4E" w:rsidRDefault="000E67F6" w:rsidP="000E67F6">
      <w:pPr>
        <w:autoSpaceDE w:val="0"/>
        <w:autoSpaceDN w:val="0"/>
        <w:adjustRightInd w:val="0"/>
        <w:spacing w:after="0" w:line="240" w:lineRule="auto"/>
        <w:rPr>
          <w:rFonts w:cs="Times New Roman"/>
          <w:color w:val="000000"/>
        </w:rPr>
      </w:pPr>
      <w:r w:rsidRPr="007D2E4E">
        <w:rPr>
          <w:rFonts w:cs="Times New Roman"/>
          <w:color w:val="000000"/>
        </w:rPr>
        <w:t xml:space="preserve">Changes to size limits were not explicitly modeled due to limitations of the age-structured population dynamics model. Estimated benefits for each management scenario are modeled directly from changes in the overall fishing mortality rate without adjusting the age-structure of the catch. If size limit regulations are modified upward, population trajectories of SPR and SSB would likely increase marginally from those reported here due to that differential fishing mortality-at-age. </w:t>
      </w:r>
    </w:p>
    <w:p w:rsidR="000E67F6" w:rsidRPr="007D2E4E" w:rsidRDefault="000E67F6" w:rsidP="000E67F6">
      <w:pPr>
        <w:autoSpaceDE w:val="0"/>
        <w:autoSpaceDN w:val="0"/>
        <w:adjustRightInd w:val="0"/>
        <w:spacing w:after="0" w:line="240" w:lineRule="auto"/>
        <w:rPr>
          <w:rFonts w:cs="Times New Roman"/>
          <w:color w:val="000000"/>
        </w:rPr>
      </w:pPr>
    </w:p>
    <w:p w:rsidR="000E67F6" w:rsidRPr="007D2E4E" w:rsidRDefault="000E67F6" w:rsidP="000E67F6">
      <w:pPr>
        <w:autoSpaceDE w:val="0"/>
        <w:autoSpaceDN w:val="0"/>
        <w:adjustRightInd w:val="0"/>
        <w:spacing w:after="0" w:line="240" w:lineRule="auto"/>
        <w:rPr>
          <w:rFonts w:cs="Times New Roman"/>
          <w:color w:val="000000"/>
        </w:rPr>
      </w:pPr>
      <w:r w:rsidRPr="007D2E4E">
        <w:rPr>
          <w:rFonts w:cs="Times New Roman"/>
          <w:color w:val="000000"/>
        </w:rPr>
        <w:t xml:space="preserve">Fishery Reductions: </w:t>
      </w:r>
    </w:p>
    <w:p w:rsidR="000E67F6" w:rsidRPr="007D2E4E" w:rsidRDefault="000E67F6" w:rsidP="000E67F6">
      <w:pPr>
        <w:autoSpaceDE w:val="0"/>
        <w:autoSpaceDN w:val="0"/>
        <w:adjustRightInd w:val="0"/>
        <w:spacing w:after="0" w:line="240" w:lineRule="auto"/>
        <w:rPr>
          <w:rFonts w:cs="Times New Roman"/>
          <w:color w:val="000000"/>
        </w:rPr>
      </w:pPr>
      <w:r w:rsidRPr="007D2E4E">
        <w:rPr>
          <w:rFonts w:cs="Times New Roman"/>
          <w:color w:val="000000"/>
        </w:rPr>
        <w:t xml:space="preserve">Empirical fishery reductions, in terms of mature female yield (landed weight of mature females), from changes in bag limits, size limits, and distinct November special regulations during the species offshore spawning migration were calculated using the 2017-2019 information available from the LDWF Recreational Creel Survey, Commercial Trip Ticket, and Biological Sampling Programs. </w:t>
      </w:r>
    </w:p>
    <w:p w:rsidR="000E67F6" w:rsidRPr="007D2E4E" w:rsidRDefault="000E67F6" w:rsidP="007D2E4E">
      <w:pPr>
        <w:pageBreakBefore/>
        <w:autoSpaceDE w:val="0"/>
        <w:autoSpaceDN w:val="0"/>
        <w:adjustRightInd w:val="0"/>
        <w:spacing w:after="0" w:line="240" w:lineRule="auto"/>
        <w:rPr>
          <w:rFonts w:cs="Times New Roman"/>
          <w:color w:val="000000"/>
        </w:rPr>
      </w:pPr>
      <w:r w:rsidRPr="007D2E4E">
        <w:rPr>
          <w:rFonts w:cs="Times New Roman"/>
          <w:color w:val="000000"/>
        </w:rPr>
        <w:t>Mature female yield reductions from size and bag limit changes were calculated by assuming a 10% discard mortality rate for recreational releases and commercial non-trawl/non-gig gear releases, an 82% discard mortality rate for commercial trawl gear releases (</w:t>
      </w:r>
      <w:proofErr w:type="spellStart"/>
      <w:r w:rsidRPr="007D2E4E">
        <w:rPr>
          <w:rFonts w:cs="Times New Roman"/>
          <w:color w:val="000000"/>
        </w:rPr>
        <w:t>Yergey</w:t>
      </w:r>
      <w:proofErr w:type="spellEnd"/>
      <w:r w:rsidRPr="007D2E4E">
        <w:rPr>
          <w:rFonts w:cs="Times New Roman"/>
          <w:color w:val="000000"/>
        </w:rPr>
        <w:t xml:space="preserve"> et al. 2012), and a 100% discard mortality rate for gig gear releases. Commercial trawl gear is defined as otter trawl, skimmer net, and butterfly net gear. </w:t>
      </w:r>
    </w:p>
    <w:p w:rsidR="000E67F6" w:rsidRPr="007D2E4E" w:rsidRDefault="000E67F6" w:rsidP="007D2E4E">
      <w:pPr>
        <w:autoSpaceDE w:val="0"/>
        <w:autoSpaceDN w:val="0"/>
        <w:adjustRightInd w:val="0"/>
        <w:spacing w:after="0" w:line="240" w:lineRule="auto"/>
        <w:rPr>
          <w:rFonts w:cs="Times New Roman"/>
          <w:color w:val="000000"/>
        </w:rPr>
      </w:pPr>
      <w:r w:rsidRPr="007D2E4E">
        <w:rPr>
          <w:rFonts w:cs="Times New Roman"/>
          <w:color w:val="000000"/>
        </w:rPr>
        <w:t xml:space="preserve">Mature female yield reductions from bag limit decreases were calculated based on assumptions of future directed and non-directed fishery effort. Future non-directed effort is assumed to remain comparable to current non-directed fishery effort, while future directed effort is assumed to cease when the simulated bag limits are reached. </w:t>
      </w:r>
    </w:p>
    <w:p w:rsidR="000E67F6" w:rsidRPr="007D2E4E" w:rsidRDefault="000E67F6" w:rsidP="007D2E4E">
      <w:pPr>
        <w:autoSpaceDE w:val="0"/>
        <w:autoSpaceDN w:val="0"/>
        <w:adjustRightInd w:val="0"/>
        <w:spacing w:after="0" w:line="240" w:lineRule="auto"/>
        <w:rPr>
          <w:rFonts w:cs="Times New Roman"/>
          <w:color w:val="000000"/>
        </w:rPr>
      </w:pPr>
      <w:r w:rsidRPr="007D2E4E">
        <w:rPr>
          <w:rFonts w:cs="Times New Roman"/>
          <w:color w:val="000000"/>
        </w:rPr>
        <w:t xml:space="preserve">Recreational directed effort during the non-November months and the month of November are assumed as 3% and 18 % respectively (the average percent of CSA-specific anglers targeting southern flounder weighted by the corresponding landing estimates). </w:t>
      </w:r>
    </w:p>
    <w:p w:rsidR="000E67F6" w:rsidRDefault="000E67F6" w:rsidP="007D2E4E">
      <w:pPr>
        <w:autoSpaceDE w:val="0"/>
        <w:autoSpaceDN w:val="0"/>
        <w:adjustRightInd w:val="0"/>
        <w:spacing w:after="0" w:line="240" w:lineRule="auto"/>
        <w:rPr>
          <w:rFonts w:cs="Times New Roman"/>
          <w:color w:val="000000"/>
        </w:rPr>
      </w:pPr>
      <w:r w:rsidRPr="007D2E4E">
        <w:rPr>
          <w:rFonts w:cs="Times New Roman"/>
          <w:color w:val="000000"/>
        </w:rPr>
        <w:t xml:space="preserve">Commercial directed effort of trawl gear (including skimmer net and butterfly net gear) is assumed as the percent of commercial effort with those gears that landed southern flounder without landing shrimp (41% in November, and 43% during the non-November months which primarily occurs during the months of October and December). Commercial non-trawl gear effort is assumed as non-directed effort. </w:t>
      </w:r>
    </w:p>
    <w:p w:rsidR="007D2E4E" w:rsidRPr="007D2E4E" w:rsidRDefault="007D2E4E" w:rsidP="007D2E4E">
      <w:pPr>
        <w:autoSpaceDE w:val="0"/>
        <w:autoSpaceDN w:val="0"/>
        <w:adjustRightInd w:val="0"/>
        <w:spacing w:after="0" w:line="240" w:lineRule="auto"/>
        <w:rPr>
          <w:rFonts w:cs="Times New Roman"/>
          <w:color w:val="000000"/>
        </w:rPr>
      </w:pPr>
    </w:p>
    <w:p w:rsidR="000E67F6" w:rsidRPr="007D2E4E" w:rsidRDefault="007D2E4E" w:rsidP="007D2E4E">
      <w:pPr>
        <w:autoSpaceDE w:val="0"/>
        <w:autoSpaceDN w:val="0"/>
        <w:adjustRightInd w:val="0"/>
        <w:spacing w:after="0" w:line="240" w:lineRule="auto"/>
        <w:rPr>
          <w:rFonts w:cs="Times New Roman"/>
          <w:color w:val="000000"/>
        </w:rPr>
      </w:pPr>
      <w:r>
        <w:rPr>
          <w:rFonts w:cs="Times New Roman"/>
          <w:color w:val="000000"/>
        </w:rPr>
        <w:t>Management Scenarios:</w:t>
      </w:r>
    </w:p>
    <w:p w:rsidR="000E67F6" w:rsidRPr="007D2E4E" w:rsidRDefault="000E67F6" w:rsidP="007D2E4E">
      <w:pPr>
        <w:autoSpaceDE w:val="0"/>
        <w:autoSpaceDN w:val="0"/>
        <w:adjustRightInd w:val="0"/>
        <w:spacing w:after="0" w:line="240" w:lineRule="auto"/>
        <w:rPr>
          <w:rFonts w:cs="Times New Roman"/>
          <w:color w:val="000000"/>
        </w:rPr>
      </w:pPr>
      <w:r w:rsidRPr="007D2E4E">
        <w:rPr>
          <w:rFonts w:cs="Times New Roman"/>
          <w:color w:val="000000"/>
        </w:rPr>
        <w:t>Scenarios 1 and 2</w:t>
      </w:r>
      <w:r w:rsidRPr="007D2E4E">
        <w:rPr>
          <w:rFonts w:cs="Times New Roman"/>
          <w:color w:val="000000"/>
          <w:sz w:val="16"/>
          <w:szCs w:val="16"/>
        </w:rPr>
        <w:t>*</w:t>
      </w:r>
      <w:r w:rsidRPr="007D2E4E">
        <w:rPr>
          <w:rFonts w:cs="Times New Roman"/>
          <w:color w:val="000000"/>
          <w:sz w:val="23"/>
          <w:szCs w:val="23"/>
        </w:rPr>
        <w:t xml:space="preserve">: </w:t>
      </w:r>
      <w:r w:rsidRPr="007D2E4E">
        <w:rPr>
          <w:rFonts w:cs="Times New Roman"/>
          <w:color w:val="000000"/>
        </w:rPr>
        <w:t xml:space="preserve">Annual fishery reductions of mature female biomass without a November special regulation (Tables 2 and 3). Commercial and recreational non-directed effort is assumed to persist at current levels in these scenarios, while fleet-specific directed effort is assumed to cease when recreational fishers and commercial vessels reach the simulated bag limits. </w:t>
      </w:r>
    </w:p>
    <w:p w:rsidR="000E67F6" w:rsidRPr="007D2E4E" w:rsidRDefault="000E67F6" w:rsidP="007D2E4E">
      <w:pPr>
        <w:autoSpaceDE w:val="0"/>
        <w:autoSpaceDN w:val="0"/>
        <w:adjustRightInd w:val="0"/>
        <w:spacing w:after="0" w:line="240" w:lineRule="auto"/>
        <w:rPr>
          <w:rFonts w:cs="Times New Roman"/>
          <w:color w:val="000000"/>
        </w:rPr>
      </w:pPr>
      <w:r w:rsidRPr="007D2E4E">
        <w:rPr>
          <w:rFonts w:cs="Times New Roman"/>
          <w:color w:val="000000"/>
        </w:rPr>
        <w:t>Scenario 3 and 4</w:t>
      </w:r>
      <w:r w:rsidRPr="007D2E4E">
        <w:rPr>
          <w:rFonts w:cs="Times New Roman"/>
          <w:color w:val="000000"/>
          <w:sz w:val="16"/>
          <w:szCs w:val="16"/>
        </w:rPr>
        <w:t>*</w:t>
      </w:r>
      <w:r w:rsidRPr="007D2E4E">
        <w:rPr>
          <w:rFonts w:cs="Times New Roman"/>
          <w:color w:val="000000"/>
        </w:rPr>
        <w:t xml:space="preserve">: Annual fishery reductions of mature female biomass with a November special regulation: a 1-fish recreational and commercial non-trawl gear bag limit, and a 30-fish commercial trawl gear bag limit (Tables 4 and 5). Commercial and recreational non-directed effort is assumed to persist at current levels in these scenarios for the entire year. Fleet-specific directed effort is assumed to cease when recreational fishers and commercial vessels reach the simulated bag limits during the non-November months and when the special bag limit is reached during the month of November. </w:t>
      </w:r>
    </w:p>
    <w:p w:rsidR="00A82E1C" w:rsidRDefault="000E67F6" w:rsidP="00B15BBA">
      <w:pPr>
        <w:spacing w:line="240" w:lineRule="auto"/>
        <w:rPr>
          <w:rFonts w:cs="Times New Roman"/>
          <w:color w:val="000000"/>
        </w:rPr>
      </w:pPr>
      <w:r w:rsidRPr="007D2E4E">
        <w:rPr>
          <w:rFonts w:cs="Times New Roman"/>
          <w:color w:val="000000"/>
        </w:rPr>
        <w:t>Scenarios 5 and 6</w:t>
      </w:r>
      <w:r w:rsidRPr="007D2E4E">
        <w:rPr>
          <w:rFonts w:cs="Times New Roman"/>
          <w:color w:val="000000"/>
          <w:sz w:val="16"/>
          <w:szCs w:val="16"/>
        </w:rPr>
        <w:t>*</w:t>
      </w:r>
      <w:r w:rsidRPr="007D2E4E">
        <w:rPr>
          <w:rFonts w:cs="Times New Roman"/>
          <w:color w:val="000000"/>
        </w:rPr>
        <w:t>: Annual fishery reductions of mature female biomass with a November fishery closure (Tables 6 and 7). Commercial and recreational non-directed effort is assumed to persist at current levels in these scenarios for the entire year. Fleet-specific directed effort is assumed to cease when recreational fishers and commercial vessels reach the simulated bag limits during the non-November months. During the November closure, fleet-specific directed effort is assumed to completely cease.</w:t>
      </w:r>
    </w:p>
    <w:p w:rsidR="007D2E4E" w:rsidRDefault="00436319" w:rsidP="00436319">
      <w:pPr>
        <w:pStyle w:val="ListParagraph"/>
        <w:numPr>
          <w:ilvl w:val="0"/>
          <w:numId w:val="1"/>
        </w:numPr>
        <w:spacing w:line="240" w:lineRule="auto"/>
        <w:rPr>
          <w:rFonts w:cs="Times New Roman"/>
          <w:color w:val="000000"/>
        </w:rPr>
      </w:pPr>
      <w:r>
        <w:rPr>
          <w:rFonts w:cs="Times New Roman"/>
          <w:color w:val="000000"/>
        </w:rPr>
        <w:t xml:space="preserve">Jason Adriance led discussion on a </w:t>
      </w:r>
      <w:r w:rsidR="00CE419E">
        <w:rPr>
          <w:rFonts w:cs="Times New Roman"/>
          <w:color w:val="000000"/>
        </w:rPr>
        <w:t xml:space="preserve">proposal for a </w:t>
      </w:r>
      <w:r>
        <w:rPr>
          <w:rFonts w:cs="Times New Roman"/>
          <w:color w:val="000000"/>
        </w:rPr>
        <w:t xml:space="preserve">coastline buffer </w:t>
      </w:r>
      <w:r w:rsidR="00CE419E">
        <w:rPr>
          <w:rFonts w:cs="Times New Roman"/>
          <w:color w:val="000000"/>
        </w:rPr>
        <w:t>for menha</w:t>
      </w:r>
      <w:r>
        <w:rPr>
          <w:rFonts w:cs="Times New Roman"/>
          <w:color w:val="000000"/>
        </w:rPr>
        <w:t>den fishing</w:t>
      </w:r>
    </w:p>
    <w:p w:rsidR="00CE419E" w:rsidRPr="00EA11B1" w:rsidRDefault="00CE419E" w:rsidP="00CE419E">
      <w:pPr>
        <w:autoSpaceDE w:val="0"/>
        <w:autoSpaceDN w:val="0"/>
        <w:adjustRightInd w:val="0"/>
        <w:spacing w:after="0" w:line="240" w:lineRule="auto"/>
        <w:ind w:left="360"/>
        <w:rPr>
          <w:rFonts w:cs="Calibri"/>
          <w:color w:val="000000"/>
        </w:rPr>
      </w:pPr>
      <w:r w:rsidRPr="00EA11B1">
        <w:rPr>
          <w:rFonts w:cs="Calibri"/>
          <w:b/>
          <w:bCs/>
          <w:iCs/>
          <w:color w:val="000000"/>
        </w:rPr>
        <w:t>Summary</w:t>
      </w:r>
    </w:p>
    <w:p w:rsidR="00EA11B1" w:rsidRDefault="00CE419E" w:rsidP="00EA11B1">
      <w:pPr>
        <w:autoSpaceDE w:val="0"/>
        <w:autoSpaceDN w:val="0"/>
        <w:adjustRightInd w:val="0"/>
        <w:spacing w:after="584" w:line="240" w:lineRule="auto"/>
        <w:contextualSpacing/>
        <w:rPr>
          <w:rFonts w:cs="Calibri"/>
          <w:color w:val="000000"/>
        </w:rPr>
      </w:pPr>
      <w:r w:rsidRPr="00EA11B1">
        <w:rPr>
          <w:rFonts w:cs="Calibri"/>
          <w:color w:val="000000"/>
        </w:rPr>
        <w:t xml:space="preserve">Issue was brought to the LWFC based upon complaints by the recreational and charter sectors.  LDWF briefed the LWFC on the menhaden fishery at its July meeting </w:t>
      </w:r>
    </w:p>
    <w:p w:rsidR="00EA11B1" w:rsidRDefault="00EA11B1" w:rsidP="00EA11B1">
      <w:pPr>
        <w:autoSpaceDE w:val="0"/>
        <w:autoSpaceDN w:val="0"/>
        <w:adjustRightInd w:val="0"/>
        <w:spacing w:after="584" w:line="240" w:lineRule="auto"/>
        <w:contextualSpacing/>
        <w:rPr>
          <w:rFonts w:cs="Calibri"/>
          <w:color w:val="000000"/>
        </w:rPr>
      </w:pPr>
    </w:p>
    <w:p w:rsidR="00CE419E" w:rsidRPr="00EA11B1" w:rsidRDefault="00EA11B1" w:rsidP="00EA11B1">
      <w:pPr>
        <w:autoSpaceDE w:val="0"/>
        <w:autoSpaceDN w:val="0"/>
        <w:adjustRightInd w:val="0"/>
        <w:spacing w:after="584" w:line="240" w:lineRule="auto"/>
        <w:contextualSpacing/>
        <w:rPr>
          <w:rFonts w:cs="Calibri"/>
          <w:color w:val="000000"/>
        </w:rPr>
      </w:pPr>
      <w:r>
        <w:rPr>
          <w:rFonts w:cs="Calibri"/>
          <w:color w:val="000000"/>
        </w:rPr>
        <w:t xml:space="preserve">In November </w:t>
      </w:r>
      <w:r w:rsidR="00CE419E" w:rsidRPr="00EA11B1">
        <w:rPr>
          <w:rFonts w:cs="Calibri"/>
          <w:color w:val="000000"/>
        </w:rPr>
        <w:t xml:space="preserve">a LWFC commissioner brought forward </w:t>
      </w:r>
      <w:r>
        <w:rPr>
          <w:rFonts w:cs="Calibri"/>
          <w:color w:val="000000"/>
        </w:rPr>
        <w:t>a Notice of Intent to established</w:t>
      </w:r>
      <w:r w:rsidR="00CE419E" w:rsidRPr="00EA11B1">
        <w:rPr>
          <w:rFonts w:cs="Calibri"/>
          <w:color w:val="000000"/>
        </w:rPr>
        <w:t xml:space="preserve"> 1 mile buffer for menhaden fishing coast wide.  The LWFC did not pass that NOI and directed the department to hold workshops with user groups</w:t>
      </w:r>
    </w:p>
    <w:p w:rsidR="00EA11B1" w:rsidRDefault="00EA11B1" w:rsidP="00EA11B1">
      <w:pPr>
        <w:autoSpaceDE w:val="0"/>
        <w:autoSpaceDN w:val="0"/>
        <w:adjustRightInd w:val="0"/>
        <w:spacing w:after="584" w:line="240" w:lineRule="auto"/>
        <w:rPr>
          <w:rFonts w:cs="Calibri"/>
          <w:color w:val="000000"/>
        </w:rPr>
      </w:pPr>
    </w:p>
    <w:p w:rsidR="00EA11B1" w:rsidRDefault="00CE419E" w:rsidP="00EA11B1">
      <w:pPr>
        <w:autoSpaceDE w:val="0"/>
        <w:autoSpaceDN w:val="0"/>
        <w:adjustRightInd w:val="0"/>
        <w:spacing w:after="584" w:line="240" w:lineRule="auto"/>
        <w:contextualSpacing/>
        <w:rPr>
          <w:rFonts w:cs="Calibri"/>
          <w:color w:val="000000"/>
        </w:rPr>
      </w:pPr>
      <w:r w:rsidRPr="00EA11B1">
        <w:rPr>
          <w:rFonts w:cs="Calibri"/>
          <w:color w:val="000000"/>
        </w:rPr>
        <w:t>Meetings were held with industry and stakeholders and eventually Legislative representatives were added and discussions continued and a tentative agreement for the buffers shown in this presentation was reached that later did not move forward.</w:t>
      </w:r>
    </w:p>
    <w:p w:rsidR="00EA11B1" w:rsidRDefault="00EA11B1" w:rsidP="00EA11B1">
      <w:pPr>
        <w:autoSpaceDE w:val="0"/>
        <w:autoSpaceDN w:val="0"/>
        <w:adjustRightInd w:val="0"/>
        <w:spacing w:after="584" w:line="240" w:lineRule="auto"/>
        <w:contextualSpacing/>
        <w:rPr>
          <w:rFonts w:cs="Calibri"/>
          <w:color w:val="000000"/>
        </w:rPr>
      </w:pPr>
    </w:p>
    <w:p w:rsidR="00CE419E" w:rsidRDefault="00CE419E" w:rsidP="00EA11B1">
      <w:pPr>
        <w:autoSpaceDE w:val="0"/>
        <w:autoSpaceDN w:val="0"/>
        <w:adjustRightInd w:val="0"/>
        <w:spacing w:after="584" w:line="240" w:lineRule="auto"/>
        <w:contextualSpacing/>
        <w:rPr>
          <w:rFonts w:cs="Calibri"/>
          <w:color w:val="000000"/>
        </w:rPr>
      </w:pPr>
      <w:r w:rsidRPr="00EA11B1">
        <w:rPr>
          <w:rFonts w:cs="Calibri"/>
          <w:color w:val="000000"/>
        </w:rPr>
        <w:t>Buffers are not an LDWF initi</w:t>
      </w:r>
      <w:r w:rsidR="00EA11B1">
        <w:rPr>
          <w:rFonts w:cs="Calibri"/>
          <w:color w:val="000000"/>
        </w:rPr>
        <w:t>a</w:t>
      </w:r>
      <w:r w:rsidRPr="00EA11B1">
        <w:rPr>
          <w:rFonts w:cs="Calibri"/>
          <w:color w:val="000000"/>
        </w:rPr>
        <w:t>tive, science indicates no stock or bycatch concerns</w:t>
      </w:r>
      <w:r w:rsidR="00EA11B1">
        <w:rPr>
          <w:rFonts w:cs="Calibri"/>
          <w:color w:val="000000"/>
        </w:rPr>
        <w:t xml:space="preserve"> </w:t>
      </w:r>
      <w:r w:rsidRPr="00EA11B1">
        <w:rPr>
          <w:rFonts w:cs="Calibri"/>
          <w:color w:val="000000"/>
        </w:rPr>
        <w:t>at this time.</w:t>
      </w:r>
    </w:p>
    <w:p w:rsidR="00EA11B1" w:rsidRDefault="00EA11B1" w:rsidP="00EA11B1">
      <w:pPr>
        <w:autoSpaceDE w:val="0"/>
        <w:autoSpaceDN w:val="0"/>
        <w:adjustRightInd w:val="0"/>
        <w:spacing w:after="584" w:line="240" w:lineRule="auto"/>
        <w:contextualSpacing/>
        <w:rPr>
          <w:rFonts w:cs="Calibri"/>
          <w:color w:val="000000"/>
        </w:rPr>
      </w:pPr>
    </w:p>
    <w:p w:rsidR="00EA11B1" w:rsidRPr="00EA11B1" w:rsidRDefault="00EA11B1" w:rsidP="00EA11B1">
      <w:pPr>
        <w:autoSpaceDE w:val="0"/>
        <w:autoSpaceDN w:val="0"/>
        <w:adjustRightInd w:val="0"/>
        <w:spacing w:after="0" w:line="240" w:lineRule="auto"/>
        <w:rPr>
          <w:rFonts w:cs="Calibri"/>
          <w:color w:val="000000"/>
        </w:rPr>
      </w:pPr>
      <w:r w:rsidRPr="00EA11B1">
        <w:rPr>
          <w:rFonts w:cs="Calibri"/>
          <w:b/>
          <w:bCs/>
          <w:iCs/>
          <w:color w:val="000000"/>
        </w:rPr>
        <w:t>Bycatch</w:t>
      </w:r>
    </w:p>
    <w:p w:rsidR="00EA11B1" w:rsidRDefault="00EA11B1" w:rsidP="00EA11B1">
      <w:pPr>
        <w:autoSpaceDE w:val="0"/>
        <w:autoSpaceDN w:val="0"/>
        <w:adjustRightInd w:val="0"/>
        <w:spacing w:after="1218" w:line="240" w:lineRule="auto"/>
        <w:contextualSpacing/>
        <w:rPr>
          <w:rFonts w:cs="Calibri"/>
          <w:color w:val="000000"/>
        </w:rPr>
      </w:pPr>
      <w:r w:rsidRPr="00EA11B1">
        <w:rPr>
          <w:rFonts w:cs="Calibri"/>
          <w:color w:val="000000"/>
        </w:rPr>
        <w:t xml:space="preserve">LDWF analysis of bycatch from published work estimates that, proportionally, spotted seatrout landed or killed during menhaden fishing account for 0.07% of all spotted seatrout landings (0.8% -commercial, 99.85% -recreational, 0.07% -menhaden bycatch) (3,468 </w:t>
      </w:r>
      <w:proofErr w:type="spellStart"/>
      <w:r w:rsidRPr="00EA11B1">
        <w:rPr>
          <w:rFonts w:cs="Calibri"/>
          <w:color w:val="000000"/>
        </w:rPr>
        <w:t>lbs</w:t>
      </w:r>
      <w:proofErr w:type="spellEnd"/>
      <w:r w:rsidRPr="00EA11B1">
        <w:rPr>
          <w:rFonts w:cs="Calibri"/>
          <w:color w:val="000000"/>
        </w:rPr>
        <w:t xml:space="preserve"> from menhaden bycatch)</w:t>
      </w:r>
    </w:p>
    <w:p w:rsidR="00EA11B1" w:rsidRDefault="00EA11B1" w:rsidP="00EA11B1">
      <w:pPr>
        <w:autoSpaceDE w:val="0"/>
        <w:autoSpaceDN w:val="0"/>
        <w:adjustRightInd w:val="0"/>
        <w:spacing w:after="1218" w:line="240" w:lineRule="auto"/>
        <w:contextualSpacing/>
        <w:rPr>
          <w:rFonts w:cs="Calibri"/>
          <w:color w:val="000000"/>
        </w:rPr>
      </w:pPr>
    </w:p>
    <w:p w:rsidR="00EA11B1" w:rsidRDefault="00EA11B1" w:rsidP="00EA11B1">
      <w:pPr>
        <w:autoSpaceDE w:val="0"/>
        <w:autoSpaceDN w:val="0"/>
        <w:adjustRightInd w:val="0"/>
        <w:spacing w:after="1218" w:line="240" w:lineRule="auto"/>
        <w:contextualSpacing/>
        <w:rPr>
          <w:rFonts w:cs="Calibri"/>
          <w:color w:val="000000"/>
        </w:rPr>
      </w:pPr>
      <w:r w:rsidRPr="00EA11B1">
        <w:rPr>
          <w:rFonts w:cs="Calibri"/>
          <w:color w:val="000000"/>
        </w:rPr>
        <w:t xml:space="preserve">LDWF analysis of bycatch from published work estimates that, proportionally, red drum landed or killed during menhaden fishing account for 2.1% of all red drum landings (0.0% -commercial, 97.9% -recreational, 2.1% -menhaden bycatch) (133,830 </w:t>
      </w:r>
      <w:proofErr w:type="spellStart"/>
      <w:r w:rsidRPr="00EA11B1">
        <w:rPr>
          <w:rFonts w:cs="Calibri"/>
          <w:color w:val="000000"/>
        </w:rPr>
        <w:t>lbs</w:t>
      </w:r>
      <w:proofErr w:type="spellEnd"/>
      <w:r w:rsidRPr="00EA11B1">
        <w:rPr>
          <w:rFonts w:cs="Calibri"/>
          <w:color w:val="000000"/>
        </w:rPr>
        <w:t xml:space="preserve"> from menhaden bycatch)</w:t>
      </w:r>
    </w:p>
    <w:p w:rsidR="00EA11B1" w:rsidRDefault="00EA11B1" w:rsidP="00EA11B1">
      <w:pPr>
        <w:autoSpaceDE w:val="0"/>
        <w:autoSpaceDN w:val="0"/>
        <w:adjustRightInd w:val="0"/>
        <w:spacing w:after="1218" w:line="240" w:lineRule="auto"/>
        <w:contextualSpacing/>
        <w:rPr>
          <w:rFonts w:cs="Calibri"/>
          <w:color w:val="000000"/>
        </w:rPr>
      </w:pPr>
    </w:p>
    <w:p w:rsidR="00EA11B1" w:rsidRPr="00EA11B1" w:rsidRDefault="00EA11B1" w:rsidP="00EA11B1">
      <w:pPr>
        <w:autoSpaceDE w:val="0"/>
        <w:autoSpaceDN w:val="0"/>
        <w:adjustRightInd w:val="0"/>
        <w:spacing w:after="0" w:line="240" w:lineRule="auto"/>
        <w:rPr>
          <w:rFonts w:cs="Calibri"/>
          <w:color w:val="000000"/>
        </w:rPr>
      </w:pPr>
      <w:r w:rsidRPr="00EA11B1">
        <w:rPr>
          <w:rFonts w:cs="Calibri"/>
          <w:b/>
          <w:bCs/>
          <w:iCs/>
          <w:color w:val="000000"/>
        </w:rPr>
        <w:t>Gulf Menhaden Stock Status</w:t>
      </w:r>
    </w:p>
    <w:p w:rsidR="00EA11B1" w:rsidRPr="00EA11B1" w:rsidRDefault="00EA11B1" w:rsidP="00EA11B1">
      <w:pPr>
        <w:autoSpaceDE w:val="0"/>
        <w:autoSpaceDN w:val="0"/>
        <w:adjustRightInd w:val="0"/>
        <w:spacing w:after="642" w:line="240" w:lineRule="auto"/>
        <w:contextualSpacing/>
        <w:rPr>
          <w:rFonts w:cs="Calibri"/>
          <w:color w:val="000000"/>
        </w:rPr>
      </w:pPr>
      <w:r w:rsidRPr="00EA11B1">
        <w:rPr>
          <w:rFonts w:cs="Arial"/>
          <w:color w:val="000000"/>
        </w:rPr>
        <w:t>•</w:t>
      </w:r>
      <w:r w:rsidRPr="00EA11B1">
        <w:rPr>
          <w:rFonts w:cs="Calibri"/>
          <w:color w:val="000000"/>
        </w:rPr>
        <w:t>Most recent assessment completed in 2018 with data through 2017 (SEDAR 63) with new assessment occurring this year</w:t>
      </w:r>
    </w:p>
    <w:p w:rsidR="00EA11B1" w:rsidRPr="00EA11B1" w:rsidRDefault="00EA11B1" w:rsidP="00EA11B1">
      <w:pPr>
        <w:autoSpaceDE w:val="0"/>
        <w:autoSpaceDN w:val="0"/>
        <w:adjustRightInd w:val="0"/>
        <w:spacing w:after="642" w:line="240" w:lineRule="auto"/>
        <w:contextualSpacing/>
        <w:rPr>
          <w:rFonts w:cs="Calibri"/>
          <w:color w:val="000000"/>
        </w:rPr>
      </w:pPr>
      <w:r w:rsidRPr="00EA11B1">
        <w:rPr>
          <w:rFonts w:cs="Arial"/>
          <w:color w:val="000000"/>
        </w:rPr>
        <w:t>•</w:t>
      </w:r>
      <w:r w:rsidRPr="00EA11B1">
        <w:rPr>
          <w:rFonts w:cs="Calibri"/>
          <w:color w:val="000000"/>
        </w:rPr>
        <w:t>Stock is not overfished and is not undergoing overfishing (SEDAR 63)</w:t>
      </w:r>
    </w:p>
    <w:p w:rsidR="00EA11B1" w:rsidRPr="00EA11B1" w:rsidRDefault="00EA11B1" w:rsidP="00EA11B1">
      <w:pPr>
        <w:autoSpaceDE w:val="0"/>
        <w:autoSpaceDN w:val="0"/>
        <w:adjustRightInd w:val="0"/>
        <w:spacing w:after="642" w:line="240" w:lineRule="auto"/>
        <w:contextualSpacing/>
        <w:rPr>
          <w:rFonts w:cs="Calibri"/>
          <w:color w:val="000000"/>
        </w:rPr>
      </w:pPr>
      <w:r w:rsidRPr="00EA11B1">
        <w:rPr>
          <w:rFonts w:cs="Arial"/>
          <w:color w:val="000000"/>
        </w:rPr>
        <w:t>•</w:t>
      </w:r>
      <w:r w:rsidRPr="00EA11B1">
        <w:rPr>
          <w:rFonts w:cs="Calibri"/>
          <w:color w:val="000000"/>
        </w:rPr>
        <w:t>Fishing mortality has been stable or decreasing in recent years (SEDAR 63)</w:t>
      </w:r>
    </w:p>
    <w:p w:rsidR="00EA11B1" w:rsidRPr="00EA11B1" w:rsidRDefault="00EA11B1" w:rsidP="00EA11B1">
      <w:pPr>
        <w:autoSpaceDE w:val="0"/>
        <w:autoSpaceDN w:val="0"/>
        <w:adjustRightInd w:val="0"/>
        <w:spacing w:after="642" w:line="240" w:lineRule="auto"/>
        <w:contextualSpacing/>
        <w:rPr>
          <w:rFonts w:cs="Calibri"/>
          <w:color w:val="000000"/>
        </w:rPr>
      </w:pPr>
      <w:r w:rsidRPr="00EA11B1">
        <w:rPr>
          <w:rFonts w:cs="Arial"/>
          <w:color w:val="000000"/>
        </w:rPr>
        <w:t>•</w:t>
      </w:r>
      <w:r w:rsidRPr="00EA11B1">
        <w:rPr>
          <w:rFonts w:cs="Calibri"/>
          <w:color w:val="000000"/>
        </w:rPr>
        <w:t>Estimated Gulf menhaden population in 2017 was 124.3 billion fish (SEDAR 63)</w:t>
      </w:r>
    </w:p>
    <w:p w:rsidR="00EA11B1" w:rsidRDefault="00EA11B1" w:rsidP="00EA11B1">
      <w:pPr>
        <w:autoSpaceDE w:val="0"/>
        <w:autoSpaceDN w:val="0"/>
        <w:adjustRightInd w:val="0"/>
        <w:spacing w:after="0" w:line="240" w:lineRule="auto"/>
        <w:contextualSpacing/>
        <w:rPr>
          <w:rFonts w:cs="Calibri"/>
          <w:color w:val="000000"/>
        </w:rPr>
      </w:pPr>
      <w:r w:rsidRPr="00EA11B1">
        <w:rPr>
          <w:rFonts w:cs="Arial"/>
          <w:color w:val="000000"/>
        </w:rPr>
        <w:t>•</w:t>
      </w:r>
      <w:r w:rsidRPr="00EA11B1">
        <w:rPr>
          <w:rFonts w:cs="Calibri"/>
          <w:color w:val="000000"/>
        </w:rPr>
        <w:t>Landings</w:t>
      </w:r>
      <w:r w:rsidR="00B6339A">
        <w:rPr>
          <w:rFonts w:cs="Calibri"/>
          <w:color w:val="000000"/>
        </w:rPr>
        <w:t xml:space="preserve"> </w:t>
      </w:r>
      <w:r w:rsidRPr="00EA11B1">
        <w:rPr>
          <w:rFonts w:cs="Calibri"/>
          <w:color w:val="000000"/>
        </w:rPr>
        <w:t>are only about 1 to 2% of the total estimated menhaden population</w:t>
      </w:r>
    </w:p>
    <w:p w:rsidR="00B6339A" w:rsidRDefault="00B6339A" w:rsidP="00EA11B1">
      <w:pPr>
        <w:autoSpaceDE w:val="0"/>
        <w:autoSpaceDN w:val="0"/>
        <w:adjustRightInd w:val="0"/>
        <w:spacing w:after="0" w:line="240" w:lineRule="auto"/>
        <w:contextualSpacing/>
        <w:rPr>
          <w:rFonts w:cs="Calibri"/>
          <w:color w:val="000000"/>
        </w:rPr>
      </w:pPr>
    </w:p>
    <w:p w:rsidR="00EA11B1" w:rsidRDefault="00324457" w:rsidP="00EA11B1">
      <w:pPr>
        <w:autoSpaceDE w:val="0"/>
        <w:autoSpaceDN w:val="0"/>
        <w:adjustRightInd w:val="0"/>
        <w:spacing w:after="0" w:line="240" w:lineRule="auto"/>
        <w:contextualSpacing/>
        <w:rPr>
          <w:rFonts w:cs="Calibri"/>
          <w:color w:val="000000"/>
        </w:rPr>
      </w:pPr>
      <w:r>
        <w:rPr>
          <w:rFonts w:cs="Calibri"/>
          <w:color w:val="000000"/>
        </w:rPr>
        <w:t xml:space="preserve">Daniel Edgar </w:t>
      </w:r>
      <w:r w:rsidR="009045EA">
        <w:rPr>
          <w:rFonts w:cs="Calibri"/>
          <w:color w:val="000000"/>
        </w:rPr>
        <w:t>stated that he would support a</w:t>
      </w:r>
      <w:r>
        <w:rPr>
          <w:rFonts w:cs="Calibri"/>
          <w:color w:val="000000"/>
        </w:rPr>
        <w:t xml:space="preserve"> </w:t>
      </w:r>
      <w:r w:rsidR="00A44841">
        <w:rPr>
          <w:rFonts w:cs="Calibri"/>
          <w:color w:val="000000"/>
        </w:rPr>
        <w:t xml:space="preserve">.25 </w:t>
      </w:r>
      <w:r>
        <w:rPr>
          <w:rFonts w:cs="Calibri"/>
          <w:color w:val="000000"/>
        </w:rPr>
        <w:t xml:space="preserve">mile </w:t>
      </w:r>
      <w:r w:rsidR="00A44841">
        <w:rPr>
          <w:rFonts w:cs="Calibri"/>
          <w:color w:val="000000"/>
        </w:rPr>
        <w:t>buffer</w:t>
      </w:r>
    </w:p>
    <w:p w:rsidR="009045EA" w:rsidRDefault="009045EA" w:rsidP="00EA11B1">
      <w:pPr>
        <w:autoSpaceDE w:val="0"/>
        <w:autoSpaceDN w:val="0"/>
        <w:adjustRightInd w:val="0"/>
        <w:spacing w:after="0" w:line="240" w:lineRule="auto"/>
        <w:contextualSpacing/>
        <w:rPr>
          <w:rFonts w:cs="Calibri"/>
          <w:color w:val="000000"/>
        </w:rPr>
      </w:pPr>
    </w:p>
    <w:p w:rsidR="009045EA" w:rsidRDefault="00D20667" w:rsidP="00D20667">
      <w:pPr>
        <w:pStyle w:val="ListParagraph"/>
        <w:numPr>
          <w:ilvl w:val="0"/>
          <w:numId w:val="1"/>
        </w:numPr>
        <w:autoSpaceDE w:val="0"/>
        <w:autoSpaceDN w:val="0"/>
        <w:adjustRightInd w:val="0"/>
        <w:spacing w:after="0" w:line="240" w:lineRule="auto"/>
        <w:rPr>
          <w:rFonts w:cs="Calibri"/>
          <w:color w:val="000000"/>
        </w:rPr>
      </w:pPr>
      <w:r>
        <w:rPr>
          <w:rFonts w:cs="Calibri"/>
          <w:color w:val="000000"/>
        </w:rPr>
        <w:t>Cole Garrett provided the task force with a presentation on the licensing restructure proposal</w:t>
      </w:r>
    </w:p>
    <w:p w:rsidR="00D20667" w:rsidRDefault="00D20667" w:rsidP="00D20667">
      <w:pPr>
        <w:autoSpaceDE w:val="0"/>
        <w:autoSpaceDN w:val="0"/>
        <w:adjustRightInd w:val="0"/>
        <w:spacing w:after="0" w:line="240" w:lineRule="auto"/>
        <w:rPr>
          <w:rFonts w:cs="Calibri"/>
          <w:noProof/>
          <w:color w:val="000000"/>
        </w:rPr>
      </w:pPr>
    </w:p>
    <w:p w:rsidR="00EA11B1" w:rsidRDefault="00FE7C71" w:rsidP="00FE7C71">
      <w:pPr>
        <w:autoSpaceDE w:val="0"/>
        <w:autoSpaceDN w:val="0"/>
        <w:adjustRightInd w:val="0"/>
        <w:spacing w:after="0" w:line="240" w:lineRule="auto"/>
        <w:rPr>
          <w:rFonts w:cs="Calibri"/>
          <w:color w:val="000000"/>
        </w:rPr>
      </w:pPr>
      <w:r>
        <w:rPr>
          <w:rFonts w:cs="Calibri"/>
          <w:noProof/>
          <w:color w:val="000000"/>
        </w:rPr>
        <w:t>Ge</w:t>
      </w:r>
      <w:proofErr w:type="spellStart"/>
      <w:r>
        <w:rPr>
          <w:rFonts w:cs="Calibri"/>
          <w:color w:val="000000"/>
        </w:rPr>
        <w:t>orge</w:t>
      </w:r>
      <w:proofErr w:type="spellEnd"/>
      <w:r>
        <w:rPr>
          <w:rFonts w:cs="Calibri"/>
          <w:color w:val="000000"/>
        </w:rPr>
        <w:t xml:space="preserve"> Huye asked if LDWF had considered moving to an annual license instead of a fiscal year </w:t>
      </w:r>
      <w:proofErr w:type="gramStart"/>
      <w:r>
        <w:rPr>
          <w:rFonts w:cs="Calibri"/>
          <w:color w:val="000000"/>
        </w:rPr>
        <w:t>license?</w:t>
      </w:r>
      <w:proofErr w:type="gramEnd"/>
    </w:p>
    <w:p w:rsidR="00FE7C71" w:rsidRDefault="00FE7C71" w:rsidP="00FE7C71">
      <w:pPr>
        <w:autoSpaceDE w:val="0"/>
        <w:autoSpaceDN w:val="0"/>
        <w:adjustRightInd w:val="0"/>
        <w:spacing w:after="0" w:line="240" w:lineRule="auto"/>
        <w:rPr>
          <w:rFonts w:cs="Calibri"/>
          <w:color w:val="000000"/>
        </w:rPr>
      </w:pPr>
    </w:p>
    <w:p w:rsidR="00436319" w:rsidRDefault="00FE7C71" w:rsidP="00FE7C71">
      <w:pPr>
        <w:autoSpaceDE w:val="0"/>
        <w:autoSpaceDN w:val="0"/>
        <w:adjustRightInd w:val="0"/>
        <w:spacing w:after="0" w:line="240" w:lineRule="auto"/>
        <w:rPr>
          <w:rFonts w:cs="Calibri"/>
          <w:color w:val="000000"/>
        </w:rPr>
      </w:pPr>
      <w:r>
        <w:rPr>
          <w:rFonts w:cs="Calibri"/>
          <w:color w:val="000000"/>
        </w:rPr>
        <w:t>Cole Garrett stated that LDWF has looked into and has the ability to do that in law right now for fishing licenses. The issue you run into is even w</w:t>
      </w:r>
      <w:r w:rsidR="00EA1AB5">
        <w:rPr>
          <w:rFonts w:cs="Calibri"/>
          <w:color w:val="000000"/>
        </w:rPr>
        <w:t>ith our simplified licensing</w:t>
      </w:r>
      <w:r>
        <w:rPr>
          <w:rFonts w:cs="Calibri"/>
          <w:color w:val="000000"/>
        </w:rPr>
        <w:t xml:space="preserve"> structure you still have all these different privileges, so if you go and buy your hunting license in September and you don’t </w:t>
      </w:r>
      <w:r w:rsidR="00EA1AB5">
        <w:rPr>
          <w:rFonts w:cs="Calibri"/>
          <w:color w:val="000000"/>
        </w:rPr>
        <w:t>buy</w:t>
      </w:r>
      <w:r>
        <w:rPr>
          <w:rFonts w:cs="Calibri"/>
          <w:color w:val="000000"/>
        </w:rPr>
        <w:t xml:space="preserve"> your fishing license until February now you’ve got two different expiration dates and it’s potentially confusing for users. What we have considered doing was an automatic renewal where you can opt in and provide a credit card number and sign up to auto renew you</w:t>
      </w:r>
      <w:r w:rsidR="00FC10C6">
        <w:rPr>
          <w:rFonts w:cs="Calibri"/>
          <w:color w:val="000000"/>
        </w:rPr>
        <w:t>r license. This would</w:t>
      </w:r>
      <w:r>
        <w:rPr>
          <w:rFonts w:cs="Calibri"/>
          <w:color w:val="000000"/>
        </w:rPr>
        <w:t xml:space="preserve"> help LDWF </w:t>
      </w:r>
      <w:r w:rsidR="00FC10C6">
        <w:rPr>
          <w:rFonts w:cs="Calibri"/>
          <w:color w:val="000000"/>
        </w:rPr>
        <w:t xml:space="preserve">maintain users and generate more revenue. </w:t>
      </w:r>
    </w:p>
    <w:p w:rsidR="00EA1AB5" w:rsidRDefault="00EA1AB5" w:rsidP="00FE7C71">
      <w:pPr>
        <w:autoSpaceDE w:val="0"/>
        <w:autoSpaceDN w:val="0"/>
        <w:adjustRightInd w:val="0"/>
        <w:spacing w:after="0" w:line="240" w:lineRule="auto"/>
        <w:rPr>
          <w:rFonts w:cs="Calibri"/>
          <w:color w:val="000000"/>
        </w:rPr>
      </w:pPr>
    </w:p>
    <w:p w:rsidR="00EA1AB5" w:rsidRDefault="00EA1AB5" w:rsidP="00EA1AB5">
      <w:pPr>
        <w:pStyle w:val="ListParagraph"/>
        <w:numPr>
          <w:ilvl w:val="0"/>
          <w:numId w:val="1"/>
        </w:numPr>
        <w:autoSpaceDE w:val="0"/>
        <w:autoSpaceDN w:val="0"/>
        <w:adjustRightInd w:val="0"/>
        <w:spacing w:after="0" w:line="240" w:lineRule="auto"/>
        <w:rPr>
          <w:rFonts w:cs="Calibri"/>
          <w:color w:val="000000"/>
        </w:rPr>
      </w:pPr>
      <w:r>
        <w:rPr>
          <w:rFonts w:cs="Calibri"/>
          <w:color w:val="000000"/>
        </w:rPr>
        <w:t>Doug Daigle provided the task force with a proposal to consider on the continued work on Gulf hypoxia</w:t>
      </w:r>
    </w:p>
    <w:p w:rsidR="00EA1AB5" w:rsidRDefault="00EA1AB5" w:rsidP="00EA1AB5">
      <w:pPr>
        <w:pStyle w:val="ListParagraph"/>
        <w:autoSpaceDE w:val="0"/>
        <w:autoSpaceDN w:val="0"/>
        <w:adjustRightInd w:val="0"/>
        <w:spacing w:after="0" w:line="240" w:lineRule="auto"/>
        <w:rPr>
          <w:rFonts w:cs="Calibri"/>
          <w:color w:val="000000"/>
        </w:rPr>
      </w:pPr>
    </w:p>
    <w:p w:rsidR="00EA1AB5" w:rsidRPr="00EA1AB5" w:rsidRDefault="00EA1AB5" w:rsidP="00EA1AB5">
      <w:pPr>
        <w:ind w:left="360"/>
        <w:rPr>
          <w:rFonts w:cs="Times New Roman"/>
        </w:rPr>
      </w:pPr>
      <w:r w:rsidRPr="00EA1AB5">
        <w:rPr>
          <w:rFonts w:cs="Times New Roman"/>
        </w:rPr>
        <w:t xml:space="preserve">Draft Resolution – Louisiana Finfish Task Force – April 2021 </w:t>
      </w:r>
    </w:p>
    <w:p w:rsidR="00EA1AB5" w:rsidRDefault="00EA1AB5" w:rsidP="00EA1AB5">
      <w:pPr>
        <w:spacing w:line="240" w:lineRule="auto"/>
        <w:contextualSpacing/>
        <w:rPr>
          <w:rFonts w:cs="Times New Roman"/>
        </w:rPr>
      </w:pPr>
      <w:r w:rsidRPr="00EA1AB5">
        <w:rPr>
          <w:rFonts w:cs="Times New Roman"/>
        </w:rPr>
        <w:t xml:space="preserve">Statement of support for continued efforts by the State of Louisiana to address the problem of the Gulf of Mexico Hypoxic Zone </w:t>
      </w:r>
    </w:p>
    <w:p w:rsidR="00EA1AB5" w:rsidRPr="00EA1AB5" w:rsidRDefault="00EA1AB5" w:rsidP="00EA1AB5">
      <w:pPr>
        <w:spacing w:line="240" w:lineRule="auto"/>
        <w:contextualSpacing/>
        <w:rPr>
          <w:rFonts w:cs="Times New Roman"/>
        </w:rPr>
      </w:pPr>
      <w:r w:rsidRPr="00EA1AB5">
        <w:rPr>
          <w:rFonts w:cs="Times New Roman"/>
        </w:rPr>
        <w:t xml:space="preserve">WHEREAS, Louisiana’s coastal fisheries are a vital part of the state’s economy, with the shrimp industry alone accounting for 15,000 jobs and an economic impact of $1.3 billion;* and </w:t>
      </w:r>
    </w:p>
    <w:p w:rsidR="00EA1AB5" w:rsidRDefault="00EA1AB5" w:rsidP="00EA1AB5">
      <w:pPr>
        <w:spacing w:line="240" w:lineRule="auto"/>
        <w:contextualSpacing/>
        <w:rPr>
          <w:rFonts w:cs="Times New Roman"/>
        </w:rPr>
      </w:pPr>
      <w:r w:rsidRPr="00EA1AB5">
        <w:rPr>
          <w:rFonts w:cs="Times New Roman"/>
        </w:rPr>
        <w:t xml:space="preserve">WHEREAS, the large area of low oxygen or hypoxia that forms each year in Louisiana’s coastal waters is an issue of concern for the state’s seafood and fishing industries, including shrimp harvests in offshore waters influenced by the Mississippi and Atchafalaya Rivers; and </w:t>
      </w:r>
    </w:p>
    <w:p w:rsidR="00EA1AB5" w:rsidRPr="00EA1AB5" w:rsidRDefault="00EA1AB5" w:rsidP="00EA1AB5">
      <w:pPr>
        <w:spacing w:line="240" w:lineRule="auto"/>
        <w:contextualSpacing/>
        <w:rPr>
          <w:rFonts w:cs="Times New Roman"/>
        </w:rPr>
      </w:pPr>
      <w:r w:rsidRPr="00EA1AB5">
        <w:rPr>
          <w:rFonts w:cs="Times New Roman"/>
        </w:rPr>
        <w:t xml:space="preserve">WHEREAS, the low oxygen levels are caused by loading of nutrients from the Mississippi River Basin, and reducing the growth of Gulf hypoxia requires lowering those inputs by reducing nutrient loading into the Mississippi and Atchafalaya Rivers and the Gulf; and </w:t>
      </w:r>
    </w:p>
    <w:p w:rsidR="00EA1AB5" w:rsidRPr="00EA1AB5" w:rsidRDefault="00EA1AB5" w:rsidP="00EA1AB5">
      <w:pPr>
        <w:spacing w:line="240" w:lineRule="auto"/>
        <w:contextualSpacing/>
        <w:rPr>
          <w:rFonts w:cs="Times New Roman"/>
        </w:rPr>
      </w:pPr>
      <w:r w:rsidRPr="00EA1AB5">
        <w:rPr>
          <w:rFonts w:cs="Times New Roman"/>
        </w:rPr>
        <w:t xml:space="preserve">WHEREAS, the state of Louisiana, along with 12 other states along the Mississippi and Ohio Rivers, as well as federal agencies, stakeholders, and researchers, has been working to address the Gulf Hypoxia problem since 1997 as part of the national Gulf Hypoxia Task Force; and </w:t>
      </w:r>
    </w:p>
    <w:p w:rsidR="00EA1AB5" w:rsidRPr="00EA1AB5" w:rsidRDefault="00EA1AB5" w:rsidP="00EA1AB5">
      <w:pPr>
        <w:spacing w:line="240" w:lineRule="auto"/>
        <w:contextualSpacing/>
        <w:rPr>
          <w:rFonts w:cs="Times New Roman"/>
        </w:rPr>
      </w:pPr>
      <w:r w:rsidRPr="00EA1AB5">
        <w:rPr>
          <w:rFonts w:cs="Times New Roman"/>
        </w:rPr>
        <w:t xml:space="preserve">WHEREAS, the agreement by all these parties in the Gulf Hypoxia Action Plan calls for reaching a 20% reduction in nutrient loading to the Gulf of Mexico from the Mississippi and Atchafalaya Rivers by the year 2025 through their joint efforts, and reducing the average annual size of the Gulf Hypoxic Zone to 5000 square kilometers/1950 square miles by the year 2035; and </w:t>
      </w:r>
    </w:p>
    <w:p w:rsidR="00EA1AB5" w:rsidRPr="00EA1AB5" w:rsidRDefault="00EA1AB5" w:rsidP="00EA1AB5">
      <w:pPr>
        <w:spacing w:line="240" w:lineRule="auto"/>
        <w:contextualSpacing/>
        <w:rPr>
          <w:rFonts w:cs="Times New Roman"/>
        </w:rPr>
      </w:pPr>
      <w:r w:rsidRPr="00EA1AB5">
        <w:rPr>
          <w:rFonts w:cs="Times New Roman"/>
        </w:rPr>
        <w:t xml:space="preserve">WHEREAS, working to reach this Target and Goal represents a commitment by Louisiana and other states and agencies, and will also benefit fishing, seafood, and general water quality in the bays, estuaries, and coastal waters of Louisiana; </w:t>
      </w:r>
    </w:p>
    <w:p w:rsidR="00EA1AB5" w:rsidRPr="00EA1AB5" w:rsidRDefault="00EA1AB5" w:rsidP="00EA1AB5">
      <w:pPr>
        <w:spacing w:line="240" w:lineRule="auto"/>
        <w:contextualSpacing/>
        <w:rPr>
          <w:rFonts w:cs="Times New Roman"/>
        </w:rPr>
      </w:pPr>
      <w:r w:rsidRPr="00EA1AB5">
        <w:rPr>
          <w:rFonts w:cs="Times New Roman"/>
        </w:rPr>
        <w:t xml:space="preserve">THEREFORE, the Louisiana Finfish Task Force expresses its support for the continued effort by Louisiana and the states and agencies on the Gulf Hypoxia Task Force to achieve the target and goal agreed to in the Action Plan for Reducing Hypoxia in the Gulf of Mexico. </w:t>
      </w:r>
    </w:p>
    <w:p w:rsidR="00EA1AB5" w:rsidRDefault="00EA1AB5" w:rsidP="00EA1AB5">
      <w:pPr>
        <w:spacing w:line="240" w:lineRule="auto"/>
        <w:contextualSpacing/>
        <w:rPr>
          <w:rFonts w:cs="Times New Roman"/>
        </w:rPr>
      </w:pPr>
      <w:r w:rsidRPr="00EA1AB5">
        <w:rPr>
          <w:rFonts w:cs="Times New Roman"/>
        </w:rPr>
        <w:t>*Figures from Louisiana Seafood Board (</w:t>
      </w:r>
      <w:hyperlink r:id="rId12" w:history="1">
        <w:r w:rsidRPr="007B059A">
          <w:rPr>
            <w:rStyle w:val="Hyperlink"/>
            <w:rFonts w:cs="Times New Roman"/>
          </w:rPr>
          <w:t>https://www.louisianaseafood.com/industry</w:t>
        </w:r>
      </w:hyperlink>
      <w:r w:rsidRPr="00EA1AB5">
        <w:rPr>
          <w:rFonts w:cs="Times New Roman"/>
        </w:rPr>
        <w:t>)</w:t>
      </w:r>
    </w:p>
    <w:p w:rsidR="00EA1AB5" w:rsidRPr="00EA1AB5" w:rsidRDefault="00EA1AB5" w:rsidP="00EA1AB5">
      <w:pPr>
        <w:spacing w:line="240" w:lineRule="auto"/>
        <w:contextualSpacing/>
        <w:rPr>
          <w:rFonts w:cs="Times New Roman"/>
        </w:rPr>
      </w:pPr>
    </w:p>
    <w:p w:rsidR="00EA1AB5" w:rsidRDefault="00EA1AB5" w:rsidP="00EA1AB5">
      <w:pPr>
        <w:autoSpaceDE w:val="0"/>
        <w:autoSpaceDN w:val="0"/>
        <w:adjustRightInd w:val="0"/>
        <w:spacing w:after="0" w:line="240" w:lineRule="auto"/>
        <w:rPr>
          <w:rFonts w:cs="Calibri"/>
          <w:color w:val="000000"/>
        </w:rPr>
      </w:pPr>
      <w:r>
        <w:rPr>
          <w:rFonts w:cs="Calibri"/>
          <w:color w:val="000000"/>
        </w:rPr>
        <w:t>George Huye motioned to pass the proposed resolution to continue to support the continued work on Gulf hypoxia, 2</w:t>
      </w:r>
      <w:r w:rsidRPr="00EA1AB5">
        <w:rPr>
          <w:rFonts w:cs="Calibri"/>
          <w:color w:val="000000"/>
          <w:vertAlign w:val="superscript"/>
        </w:rPr>
        <w:t>nd</w:t>
      </w:r>
      <w:r>
        <w:rPr>
          <w:rFonts w:cs="Calibri"/>
          <w:color w:val="000000"/>
        </w:rPr>
        <w:t xml:space="preserve"> by </w:t>
      </w:r>
      <w:r w:rsidR="00FB6891">
        <w:rPr>
          <w:rFonts w:cs="Calibri"/>
          <w:color w:val="000000"/>
        </w:rPr>
        <w:t xml:space="preserve">Acy Cooper, III. Motion carries. </w:t>
      </w:r>
    </w:p>
    <w:p w:rsidR="00FB6891" w:rsidRDefault="00FB6891" w:rsidP="00EA1AB5">
      <w:pPr>
        <w:autoSpaceDE w:val="0"/>
        <w:autoSpaceDN w:val="0"/>
        <w:adjustRightInd w:val="0"/>
        <w:spacing w:after="0" w:line="240" w:lineRule="auto"/>
        <w:rPr>
          <w:rFonts w:cs="Calibri"/>
          <w:color w:val="000000"/>
        </w:rPr>
      </w:pPr>
    </w:p>
    <w:p w:rsidR="00FB6891" w:rsidRDefault="00FB6891" w:rsidP="00FB6891">
      <w:pPr>
        <w:pStyle w:val="ListParagraph"/>
        <w:numPr>
          <w:ilvl w:val="0"/>
          <w:numId w:val="1"/>
        </w:numPr>
        <w:autoSpaceDE w:val="0"/>
        <w:autoSpaceDN w:val="0"/>
        <w:adjustRightInd w:val="0"/>
        <w:spacing w:after="0" w:line="240" w:lineRule="auto"/>
        <w:rPr>
          <w:rFonts w:cs="Calibri"/>
          <w:color w:val="000000"/>
        </w:rPr>
      </w:pPr>
      <w:r>
        <w:rPr>
          <w:rFonts w:cs="Calibri"/>
          <w:color w:val="000000"/>
        </w:rPr>
        <w:t xml:space="preserve">The task force heard an update on any commercial/ recreational fisheries related relief programs </w:t>
      </w:r>
    </w:p>
    <w:p w:rsidR="00734570" w:rsidRDefault="00734570" w:rsidP="00734570">
      <w:pPr>
        <w:pStyle w:val="ListParagraph"/>
        <w:autoSpaceDE w:val="0"/>
        <w:autoSpaceDN w:val="0"/>
        <w:adjustRightInd w:val="0"/>
        <w:spacing w:after="0" w:line="240" w:lineRule="auto"/>
        <w:rPr>
          <w:rFonts w:cs="Calibri"/>
          <w:color w:val="000000"/>
        </w:rPr>
      </w:pPr>
    </w:p>
    <w:p w:rsidR="00734570" w:rsidRDefault="00734570" w:rsidP="00734570">
      <w:pPr>
        <w:autoSpaceDE w:val="0"/>
        <w:autoSpaceDN w:val="0"/>
        <w:adjustRightInd w:val="0"/>
        <w:spacing w:after="0" w:line="240" w:lineRule="auto"/>
        <w:rPr>
          <w:rFonts w:cs="Calibri"/>
          <w:color w:val="000000"/>
        </w:rPr>
      </w:pPr>
      <w:r>
        <w:rPr>
          <w:rFonts w:cs="Calibri"/>
          <w:color w:val="000000"/>
        </w:rPr>
        <w:t xml:space="preserve">Jason Froeba stated that  there is the first Covid-19 batch of money, the CARES Act, some of you may have already received payments from that or first round of payments, that closed last November. LDWF is currently approving final payments and will get that to Gulf States. The rest of the remaining first round of CARES Act funding is going to be out the door. Had a recent meeting with NOAA on the second round of CARES Act funding. There was another </w:t>
      </w:r>
      <w:proofErr w:type="spellStart"/>
      <w:r>
        <w:rPr>
          <w:rFonts w:cs="Calibri"/>
          <w:color w:val="000000"/>
        </w:rPr>
        <w:t>Covid</w:t>
      </w:r>
      <w:proofErr w:type="spellEnd"/>
      <w:r>
        <w:rPr>
          <w:rFonts w:cs="Calibri"/>
          <w:color w:val="000000"/>
        </w:rPr>
        <w:t xml:space="preserve"> relief bill that they passed and they set aside nearly an almost identical amount of money towards fisheries relief. They added a few other eligible entities into that pot so ou</w:t>
      </w:r>
      <w:r w:rsidR="00B05D1F">
        <w:rPr>
          <w:rFonts w:cs="Calibri"/>
          <w:color w:val="000000"/>
        </w:rPr>
        <w:t>r pot got reduced a little bit, but they announced that we are going to get an additional $12-13 million in relief to be distributed. LDWF has to figure out how this relief will be distributed but it will probably be very similar or exactly the same as the first round. This plan will have</w:t>
      </w:r>
      <w:r>
        <w:rPr>
          <w:rFonts w:cs="Calibri"/>
          <w:color w:val="000000"/>
        </w:rPr>
        <w:t xml:space="preserve"> </w:t>
      </w:r>
      <w:r w:rsidR="00B05D1F">
        <w:rPr>
          <w:rFonts w:cs="Calibri"/>
          <w:color w:val="000000"/>
        </w:rPr>
        <w:t xml:space="preserve">to be given to NOAA and NOAA will then have to approve that plan as well. The good news is they want all money out the door by the end of September. </w:t>
      </w:r>
    </w:p>
    <w:p w:rsidR="00B05D1F" w:rsidRDefault="00B05D1F" w:rsidP="00734570">
      <w:pPr>
        <w:autoSpaceDE w:val="0"/>
        <w:autoSpaceDN w:val="0"/>
        <w:adjustRightInd w:val="0"/>
        <w:spacing w:after="0" w:line="240" w:lineRule="auto"/>
        <w:rPr>
          <w:rFonts w:cs="Calibri"/>
          <w:color w:val="000000"/>
        </w:rPr>
      </w:pPr>
    </w:p>
    <w:p w:rsidR="00B05D1F" w:rsidRDefault="00B05D1F" w:rsidP="00734570">
      <w:pPr>
        <w:autoSpaceDE w:val="0"/>
        <w:autoSpaceDN w:val="0"/>
        <w:adjustRightInd w:val="0"/>
        <w:spacing w:after="0" w:line="240" w:lineRule="auto"/>
        <w:rPr>
          <w:rFonts w:cs="Calibri"/>
          <w:color w:val="000000"/>
        </w:rPr>
      </w:pPr>
      <w:r>
        <w:rPr>
          <w:rFonts w:cs="Calibri"/>
          <w:color w:val="000000"/>
        </w:rPr>
        <w:t>The other pot of money is $58 million in flood relief funding that was allocated to Louisiana for the 2019 flood. In the process of developing a draft plan. Gathered input on this plan from the various task forces and industry members. The plan will go out for official public comment in the near future and everyone will have a chance to comment on that, LDWF will then take the comments into consideration and make any adjustments to the plan as needed and then the plan will be submitted to NOAA and NOAA has to approve the plan. There is currently no estimate on when NOAA will give approval on this</w:t>
      </w:r>
    </w:p>
    <w:p w:rsidR="00B05D1F" w:rsidRDefault="00B05D1F" w:rsidP="00734570">
      <w:pPr>
        <w:autoSpaceDE w:val="0"/>
        <w:autoSpaceDN w:val="0"/>
        <w:adjustRightInd w:val="0"/>
        <w:spacing w:after="0" w:line="240" w:lineRule="auto"/>
        <w:rPr>
          <w:rFonts w:cs="Calibri"/>
          <w:color w:val="000000"/>
        </w:rPr>
      </w:pPr>
    </w:p>
    <w:p w:rsidR="00B05D1F" w:rsidRDefault="00293E03" w:rsidP="00293E03">
      <w:pPr>
        <w:pStyle w:val="ListParagraph"/>
        <w:numPr>
          <w:ilvl w:val="0"/>
          <w:numId w:val="1"/>
        </w:numPr>
        <w:autoSpaceDE w:val="0"/>
        <w:autoSpaceDN w:val="0"/>
        <w:adjustRightInd w:val="0"/>
        <w:spacing w:after="0" w:line="240" w:lineRule="auto"/>
        <w:rPr>
          <w:rFonts w:cs="Calibri"/>
          <w:color w:val="000000"/>
        </w:rPr>
      </w:pPr>
      <w:r>
        <w:rPr>
          <w:rFonts w:cs="Calibri"/>
          <w:color w:val="000000"/>
        </w:rPr>
        <w:t xml:space="preserve">Discussed freshwater/saltwater restocking programs in Louisiana waters </w:t>
      </w:r>
    </w:p>
    <w:p w:rsidR="000327F8" w:rsidRDefault="000327F8" w:rsidP="000327F8">
      <w:pPr>
        <w:pStyle w:val="ListParagraph"/>
        <w:autoSpaceDE w:val="0"/>
        <w:autoSpaceDN w:val="0"/>
        <w:adjustRightInd w:val="0"/>
        <w:spacing w:after="0" w:line="240" w:lineRule="auto"/>
        <w:rPr>
          <w:rFonts w:cs="Calibri"/>
          <w:color w:val="000000"/>
        </w:rPr>
      </w:pPr>
    </w:p>
    <w:p w:rsidR="00293E03" w:rsidRDefault="000327F8" w:rsidP="00293E03">
      <w:pPr>
        <w:autoSpaceDE w:val="0"/>
        <w:autoSpaceDN w:val="0"/>
        <w:adjustRightInd w:val="0"/>
        <w:spacing w:after="0" w:line="240" w:lineRule="auto"/>
        <w:rPr>
          <w:rFonts w:cs="Calibri"/>
          <w:color w:val="000000"/>
        </w:rPr>
      </w:pPr>
      <w:r>
        <w:rPr>
          <w:rFonts w:cs="Calibri"/>
          <w:color w:val="000000"/>
        </w:rPr>
        <w:t>Currently LDWF is not restocking programs in any saltwater areas</w:t>
      </w:r>
    </w:p>
    <w:p w:rsidR="000327F8" w:rsidRDefault="000327F8" w:rsidP="00293E03">
      <w:pPr>
        <w:autoSpaceDE w:val="0"/>
        <w:autoSpaceDN w:val="0"/>
        <w:adjustRightInd w:val="0"/>
        <w:spacing w:after="0" w:line="240" w:lineRule="auto"/>
        <w:rPr>
          <w:rFonts w:cs="Calibri"/>
          <w:color w:val="000000"/>
        </w:rPr>
      </w:pPr>
    </w:p>
    <w:p w:rsidR="009F68CB" w:rsidRDefault="009F68CB" w:rsidP="009F68CB">
      <w:pPr>
        <w:pStyle w:val="ListParagraph"/>
        <w:numPr>
          <w:ilvl w:val="0"/>
          <w:numId w:val="1"/>
        </w:numPr>
        <w:autoSpaceDE w:val="0"/>
        <w:autoSpaceDN w:val="0"/>
        <w:adjustRightInd w:val="0"/>
        <w:spacing w:after="0" w:line="240" w:lineRule="auto"/>
        <w:rPr>
          <w:rFonts w:cs="Calibri"/>
          <w:color w:val="000000"/>
        </w:rPr>
      </w:pPr>
      <w:r>
        <w:rPr>
          <w:rFonts w:cs="Calibri"/>
          <w:color w:val="000000"/>
        </w:rPr>
        <w:t xml:space="preserve">The task force discussed catfish size limits </w:t>
      </w:r>
    </w:p>
    <w:p w:rsidR="009F68CB" w:rsidRDefault="009F68CB" w:rsidP="009F68CB">
      <w:pPr>
        <w:pStyle w:val="ListParagraph"/>
        <w:autoSpaceDE w:val="0"/>
        <w:autoSpaceDN w:val="0"/>
        <w:adjustRightInd w:val="0"/>
        <w:spacing w:after="0" w:line="240" w:lineRule="auto"/>
        <w:rPr>
          <w:rFonts w:cs="Calibri"/>
          <w:color w:val="000000"/>
        </w:rPr>
      </w:pPr>
    </w:p>
    <w:p w:rsidR="009F68CB" w:rsidRDefault="009F68CB" w:rsidP="009F68CB">
      <w:pPr>
        <w:autoSpaceDE w:val="0"/>
        <w:autoSpaceDN w:val="0"/>
        <w:adjustRightInd w:val="0"/>
        <w:spacing w:after="0" w:line="240" w:lineRule="auto"/>
        <w:rPr>
          <w:rFonts w:cs="Calibri"/>
          <w:color w:val="000000"/>
        </w:rPr>
      </w:pPr>
      <w:r>
        <w:rPr>
          <w:rFonts w:cs="Calibri"/>
          <w:color w:val="000000"/>
        </w:rPr>
        <w:t>Daniel Edgar stated that he would like LDWF to look at if the minimum size limit needs to be increased. The market has changed and there is not as much of a demand for the little filets like there used to be. The market has changed to about a 13” fish. Would like for LDWF to consider the market and the current size limits, maybe something that can be brought back up at the next meeting</w:t>
      </w:r>
    </w:p>
    <w:p w:rsidR="00E94D75" w:rsidRDefault="00E94D75" w:rsidP="009F68CB">
      <w:pPr>
        <w:autoSpaceDE w:val="0"/>
        <w:autoSpaceDN w:val="0"/>
        <w:adjustRightInd w:val="0"/>
        <w:spacing w:after="0" w:line="240" w:lineRule="auto"/>
        <w:rPr>
          <w:rFonts w:cs="Calibri"/>
          <w:color w:val="000000"/>
        </w:rPr>
      </w:pPr>
    </w:p>
    <w:p w:rsidR="00E94D75" w:rsidRDefault="00E94D75" w:rsidP="009F68CB">
      <w:pPr>
        <w:autoSpaceDE w:val="0"/>
        <w:autoSpaceDN w:val="0"/>
        <w:adjustRightInd w:val="0"/>
        <w:spacing w:after="0" w:line="240" w:lineRule="auto"/>
        <w:rPr>
          <w:rFonts w:cs="Calibri"/>
          <w:color w:val="000000"/>
        </w:rPr>
      </w:pPr>
      <w:r>
        <w:rPr>
          <w:rFonts w:cs="Calibri"/>
          <w:color w:val="000000"/>
        </w:rPr>
        <w:t xml:space="preserve">A representative from LDWF inland fisheries stated that the 11” minimum length limit on channel catfish is a 50% maturity level and that’s where we set that limit. We used to have 13” minimum length limit back in the 70s and it’s been changed a couple of times and it even went away for a while. There was legal action taken against the agency where we had to do away with the limits back in the 80s because there was a market for those small fish. A lot of research was done on channel catfish and blue catfish and LDWF came up with 11” in length, 50% of those channel catfish are mature, so that’s why that limit is set there. Most of you channel catfish harvest is looking for brood stock so that’s why it was set at that 11” size limit. The mesh size, the one inch mesh gives way for the 8-9” fish to escape. With blue catfish it was a little different, the big brood stock aren’t so much the target they wanted a medium intermediate size range. So the 12” minimum size length on the blue catfish is not necessarily a 50% maturity thing, it was actually. We feel biologically that the 11” minimum length limit is a sound length limit. Changing it back to a 13”, there would be some concern if the market does develop again for an 11” </w:t>
      </w:r>
    </w:p>
    <w:p w:rsidR="00781A8D" w:rsidRDefault="00781A8D" w:rsidP="009F68CB">
      <w:pPr>
        <w:autoSpaceDE w:val="0"/>
        <w:autoSpaceDN w:val="0"/>
        <w:adjustRightInd w:val="0"/>
        <w:spacing w:after="0" w:line="240" w:lineRule="auto"/>
        <w:rPr>
          <w:rFonts w:cs="Calibri"/>
          <w:color w:val="000000"/>
        </w:rPr>
      </w:pPr>
    </w:p>
    <w:p w:rsidR="00781A8D" w:rsidRDefault="00781A8D" w:rsidP="00781A8D">
      <w:pPr>
        <w:pStyle w:val="ListParagraph"/>
        <w:numPr>
          <w:ilvl w:val="0"/>
          <w:numId w:val="1"/>
        </w:numPr>
        <w:autoSpaceDE w:val="0"/>
        <w:autoSpaceDN w:val="0"/>
        <w:adjustRightInd w:val="0"/>
        <w:spacing w:after="0" w:line="240" w:lineRule="auto"/>
        <w:rPr>
          <w:rFonts w:cs="Calibri"/>
          <w:color w:val="000000"/>
        </w:rPr>
      </w:pPr>
      <w:r>
        <w:rPr>
          <w:rFonts w:cs="Calibri"/>
          <w:color w:val="000000"/>
        </w:rPr>
        <w:t>Officer elections</w:t>
      </w:r>
    </w:p>
    <w:p w:rsidR="00781A8D" w:rsidRDefault="00781A8D" w:rsidP="00781A8D">
      <w:pPr>
        <w:pStyle w:val="ListParagraph"/>
        <w:autoSpaceDE w:val="0"/>
        <w:autoSpaceDN w:val="0"/>
        <w:adjustRightInd w:val="0"/>
        <w:spacing w:after="0" w:line="240" w:lineRule="auto"/>
        <w:rPr>
          <w:rFonts w:cs="Calibri"/>
          <w:color w:val="000000"/>
        </w:rPr>
      </w:pPr>
    </w:p>
    <w:p w:rsidR="00781A8D" w:rsidRDefault="00781A8D" w:rsidP="00781A8D">
      <w:pPr>
        <w:autoSpaceDE w:val="0"/>
        <w:autoSpaceDN w:val="0"/>
        <w:adjustRightInd w:val="0"/>
        <w:spacing w:after="0" w:line="240" w:lineRule="auto"/>
        <w:rPr>
          <w:rFonts w:cs="Calibri"/>
          <w:color w:val="000000"/>
        </w:rPr>
      </w:pPr>
      <w:r>
        <w:rPr>
          <w:rFonts w:cs="Calibri"/>
          <w:color w:val="000000"/>
        </w:rPr>
        <w:t>George Huye motioned to appoint Ben Graham as Chairman of the Finfish Task Force, 2</w:t>
      </w:r>
      <w:r w:rsidRPr="00781A8D">
        <w:rPr>
          <w:rFonts w:cs="Calibri"/>
          <w:color w:val="000000"/>
          <w:vertAlign w:val="superscript"/>
        </w:rPr>
        <w:t>nd</w:t>
      </w:r>
      <w:r>
        <w:rPr>
          <w:rFonts w:cs="Calibri"/>
          <w:color w:val="000000"/>
        </w:rPr>
        <w:t xml:space="preserve"> by Daniel Edgar. Motion carries.</w:t>
      </w:r>
    </w:p>
    <w:p w:rsidR="00781A8D" w:rsidRDefault="00781A8D" w:rsidP="00781A8D">
      <w:pPr>
        <w:autoSpaceDE w:val="0"/>
        <w:autoSpaceDN w:val="0"/>
        <w:adjustRightInd w:val="0"/>
        <w:spacing w:after="0" w:line="240" w:lineRule="auto"/>
        <w:rPr>
          <w:rFonts w:cs="Calibri"/>
          <w:color w:val="000000"/>
        </w:rPr>
      </w:pPr>
    </w:p>
    <w:p w:rsidR="00781A8D" w:rsidRDefault="00781A8D" w:rsidP="00781A8D">
      <w:pPr>
        <w:autoSpaceDE w:val="0"/>
        <w:autoSpaceDN w:val="0"/>
        <w:adjustRightInd w:val="0"/>
        <w:spacing w:after="0" w:line="240" w:lineRule="auto"/>
        <w:rPr>
          <w:rFonts w:cs="Calibri"/>
          <w:color w:val="000000"/>
        </w:rPr>
      </w:pPr>
      <w:r>
        <w:rPr>
          <w:rFonts w:cs="Calibri"/>
          <w:color w:val="000000"/>
        </w:rPr>
        <w:t>Ben Graham motioned to appoint Stuart Billeaud as the vice-chairman, 2</w:t>
      </w:r>
      <w:r w:rsidRPr="00781A8D">
        <w:rPr>
          <w:rFonts w:cs="Calibri"/>
          <w:color w:val="000000"/>
          <w:vertAlign w:val="superscript"/>
        </w:rPr>
        <w:t>nd</w:t>
      </w:r>
      <w:r>
        <w:rPr>
          <w:rFonts w:cs="Calibri"/>
          <w:color w:val="000000"/>
        </w:rPr>
        <w:t xml:space="preserve"> by George Huye. Motion carries. </w:t>
      </w:r>
    </w:p>
    <w:p w:rsidR="00781A8D" w:rsidRPr="00781A8D" w:rsidRDefault="00781A8D" w:rsidP="00781A8D">
      <w:pPr>
        <w:autoSpaceDE w:val="0"/>
        <w:autoSpaceDN w:val="0"/>
        <w:adjustRightInd w:val="0"/>
        <w:spacing w:after="0" w:line="240" w:lineRule="auto"/>
        <w:rPr>
          <w:rFonts w:cs="Calibri"/>
          <w:color w:val="000000"/>
        </w:rPr>
      </w:pPr>
    </w:p>
    <w:p w:rsidR="00781A8D" w:rsidRDefault="00781A8D" w:rsidP="00781A8D">
      <w:pPr>
        <w:autoSpaceDE w:val="0"/>
        <w:autoSpaceDN w:val="0"/>
        <w:adjustRightInd w:val="0"/>
        <w:spacing w:after="0" w:line="240" w:lineRule="auto"/>
        <w:rPr>
          <w:rFonts w:cs="Calibri"/>
          <w:color w:val="000000"/>
        </w:rPr>
      </w:pPr>
      <w:r>
        <w:rPr>
          <w:rFonts w:cs="Calibri"/>
          <w:color w:val="000000"/>
        </w:rPr>
        <w:t>V. Public Comment</w:t>
      </w:r>
    </w:p>
    <w:p w:rsidR="00781A8D" w:rsidRDefault="00781A8D" w:rsidP="00781A8D">
      <w:pPr>
        <w:autoSpaceDE w:val="0"/>
        <w:autoSpaceDN w:val="0"/>
        <w:adjustRightInd w:val="0"/>
        <w:spacing w:after="0" w:line="240" w:lineRule="auto"/>
        <w:rPr>
          <w:rFonts w:cs="Calibri"/>
          <w:color w:val="000000"/>
        </w:rPr>
      </w:pPr>
      <w:r>
        <w:rPr>
          <w:rFonts w:cs="Calibri"/>
          <w:color w:val="000000"/>
        </w:rPr>
        <w:t>VI. Future agenda items</w:t>
      </w:r>
    </w:p>
    <w:p w:rsidR="00781A8D" w:rsidRDefault="00781A8D" w:rsidP="00781A8D">
      <w:pPr>
        <w:autoSpaceDE w:val="0"/>
        <w:autoSpaceDN w:val="0"/>
        <w:adjustRightInd w:val="0"/>
        <w:spacing w:after="0" w:line="240" w:lineRule="auto"/>
        <w:rPr>
          <w:rFonts w:cs="Calibri"/>
          <w:color w:val="000000"/>
        </w:rPr>
      </w:pPr>
      <w:r>
        <w:rPr>
          <w:rFonts w:cs="Calibri"/>
          <w:color w:val="000000"/>
        </w:rPr>
        <w:t>VII. The task force plans to set their next meeting date a later time. Plans to host the next meeting in Baton Rouge sometime between June and September, 2021.</w:t>
      </w:r>
    </w:p>
    <w:p w:rsidR="00781A8D" w:rsidRDefault="00781A8D" w:rsidP="00781A8D">
      <w:pPr>
        <w:autoSpaceDE w:val="0"/>
        <w:autoSpaceDN w:val="0"/>
        <w:adjustRightInd w:val="0"/>
        <w:spacing w:after="0" w:line="240" w:lineRule="auto"/>
        <w:rPr>
          <w:rFonts w:cs="Calibri"/>
          <w:color w:val="000000"/>
        </w:rPr>
      </w:pPr>
    </w:p>
    <w:p w:rsidR="00781A8D" w:rsidRPr="00781A8D" w:rsidRDefault="00781A8D" w:rsidP="00781A8D">
      <w:pPr>
        <w:autoSpaceDE w:val="0"/>
        <w:autoSpaceDN w:val="0"/>
        <w:adjustRightInd w:val="0"/>
        <w:spacing w:after="0" w:line="240" w:lineRule="auto"/>
        <w:rPr>
          <w:rFonts w:cs="Calibri"/>
          <w:color w:val="000000"/>
        </w:rPr>
      </w:pPr>
      <w:r>
        <w:rPr>
          <w:rFonts w:cs="Calibri"/>
          <w:color w:val="000000"/>
        </w:rPr>
        <w:t>VIII. George Huye motioned to adjourn, 2</w:t>
      </w:r>
      <w:r w:rsidRPr="00781A8D">
        <w:rPr>
          <w:rFonts w:cs="Calibri"/>
          <w:color w:val="000000"/>
          <w:vertAlign w:val="superscript"/>
        </w:rPr>
        <w:t>nd</w:t>
      </w:r>
      <w:r>
        <w:rPr>
          <w:rFonts w:cs="Calibri"/>
          <w:color w:val="000000"/>
        </w:rPr>
        <w:t xml:space="preserve"> by Daniel Edgar. Motion carries.</w:t>
      </w:r>
      <w:bookmarkStart w:id="0" w:name="_GoBack"/>
      <w:bookmarkEnd w:id="0"/>
    </w:p>
    <w:p w:rsidR="009F68CB" w:rsidRDefault="009F68CB" w:rsidP="009F68CB">
      <w:pPr>
        <w:autoSpaceDE w:val="0"/>
        <w:autoSpaceDN w:val="0"/>
        <w:adjustRightInd w:val="0"/>
        <w:spacing w:after="0" w:line="240" w:lineRule="auto"/>
        <w:rPr>
          <w:rFonts w:cs="Calibri"/>
          <w:color w:val="000000"/>
        </w:rPr>
      </w:pPr>
    </w:p>
    <w:p w:rsidR="009F68CB" w:rsidRPr="009F68CB" w:rsidRDefault="009F68CB" w:rsidP="009F68CB">
      <w:pPr>
        <w:autoSpaceDE w:val="0"/>
        <w:autoSpaceDN w:val="0"/>
        <w:adjustRightInd w:val="0"/>
        <w:spacing w:after="0" w:line="240" w:lineRule="auto"/>
        <w:rPr>
          <w:rFonts w:cs="Calibri"/>
          <w:color w:val="000000"/>
        </w:rPr>
      </w:pPr>
    </w:p>
    <w:p w:rsidR="000327F8" w:rsidRPr="00293E03" w:rsidRDefault="000327F8" w:rsidP="00293E03">
      <w:pPr>
        <w:autoSpaceDE w:val="0"/>
        <w:autoSpaceDN w:val="0"/>
        <w:adjustRightInd w:val="0"/>
        <w:spacing w:after="0" w:line="240" w:lineRule="auto"/>
        <w:rPr>
          <w:rFonts w:cs="Calibri"/>
          <w:color w:val="000000"/>
        </w:rPr>
      </w:pPr>
    </w:p>
    <w:sectPr w:rsidR="000327F8" w:rsidRPr="00293E03">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582" w:rsidRDefault="00B31582" w:rsidP="00781A8D">
      <w:pPr>
        <w:spacing w:after="0" w:line="240" w:lineRule="auto"/>
      </w:pPr>
      <w:r>
        <w:separator/>
      </w:r>
    </w:p>
  </w:endnote>
  <w:endnote w:type="continuationSeparator" w:id="0">
    <w:p w:rsidR="00B31582" w:rsidRDefault="00B31582" w:rsidP="00781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A8D" w:rsidRDefault="00781A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A8D" w:rsidRDefault="00781A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A8D" w:rsidRDefault="00781A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582" w:rsidRDefault="00B31582" w:rsidP="00781A8D">
      <w:pPr>
        <w:spacing w:after="0" w:line="240" w:lineRule="auto"/>
      </w:pPr>
      <w:r>
        <w:separator/>
      </w:r>
    </w:p>
  </w:footnote>
  <w:footnote w:type="continuationSeparator" w:id="0">
    <w:p w:rsidR="00B31582" w:rsidRDefault="00B31582" w:rsidP="00781A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A8D" w:rsidRDefault="00781A8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031238" o:spid="_x0000_s2050"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A8D" w:rsidRDefault="00781A8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031239" o:spid="_x0000_s2051"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A8D" w:rsidRDefault="00781A8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031237"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281810"/>
    <w:multiLevelType w:val="hybridMultilevel"/>
    <w:tmpl w:val="3184FC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ECC"/>
    <w:rsid w:val="00026A69"/>
    <w:rsid w:val="000327F8"/>
    <w:rsid w:val="00036E09"/>
    <w:rsid w:val="00055E86"/>
    <w:rsid w:val="00084473"/>
    <w:rsid w:val="000E67F6"/>
    <w:rsid w:val="00277ED0"/>
    <w:rsid w:val="00293E03"/>
    <w:rsid w:val="00324457"/>
    <w:rsid w:val="003270B9"/>
    <w:rsid w:val="00345605"/>
    <w:rsid w:val="00396DCF"/>
    <w:rsid w:val="00436319"/>
    <w:rsid w:val="00462CDD"/>
    <w:rsid w:val="00581EFC"/>
    <w:rsid w:val="005E53C3"/>
    <w:rsid w:val="006414A1"/>
    <w:rsid w:val="00734570"/>
    <w:rsid w:val="00781A8D"/>
    <w:rsid w:val="007C3AD5"/>
    <w:rsid w:val="007D2E4E"/>
    <w:rsid w:val="007D7A6C"/>
    <w:rsid w:val="008A30EA"/>
    <w:rsid w:val="009045EA"/>
    <w:rsid w:val="00922714"/>
    <w:rsid w:val="009756EE"/>
    <w:rsid w:val="0098612F"/>
    <w:rsid w:val="00990DB1"/>
    <w:rsid w:val="009D1B26"/>
    <w:rsid w:val="009F68CB"/>
    <w:rsid w:val="00A17D98"/>
    <w:rsid w:val="00A44841"/>
    <w:rsid w:val="00A82E1C"/>
    <w:rsid w:val="00B05D1F"/>
    <w:rsid w:val="00B15BBA"/>
    <w:rsid w:val="00B31582"/>
    <w:rsid w:val="00B6339A"/>
    <w:rsid w:val="00C66E02"/>
    <w:rsid w:val="00CA1475"/>
    <w:rsid w:val="00CE419E"/>
    <w:rsid w:val="00D20667"/>
    <w:rsid w:val="00D47114"/>
    <w:rsid w:val="00D646EB"/>
    <w:rsid w:val="00DC06F8"/>
    <w:rsid w:val="00E44ECC"/>
    <w:rsid w:val="00E94D75"/>
    <w:rsid w:val="00EA11B1"/>
    <w:rsid w:val="00EA1AB5"/>
    <w:rsid w:val="00EB2CA5"/>
    <w:rsid w:val="00ED0C3F"/>
    <w:rsid w:val="00F3605A"/>
    <w:rsid w:val="00FB6891"/>
    <w:rsid w:val="00FC10C6"/>
    <w:rsid w:val="00FE7C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DC11E3"/>
  <w15:chartTrackingRefBased/>
  <w15:docId w15:val="{57C0A47E-30F9-48DC-84D7-6AE8305CA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4ECC"/>
    <w:pPr>
      <w:ind w:left="720"/>
      <w:contextualSpacing/>
    </w:pPr>
  </w:style>
  <w:style w:type="paragraph" w:customStyle="1" w:styleId="Default">
    <w:name w:val="Default"/>
    <w:rsid w:val="003270B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EA1AB5"/>
    <w:rPr>
      <w:color w:val="0563C1" w:themeColor="hyperlink"/>
      <w:u w:val="single"/>
    </w:rPr>
  </w:style>
  <w:style w:type="paragraph" w:styleId="Header">
    <w:name w:val="header"/>
    <w:basedOn w:val="Normal"/>
    <w:link w:val="HeaderChar"/>
    <w:uiPriority w:val="99"/>
    <w:unhideWhenUsed/>
    <w:rsid w:val="00781A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1A8D"/>
  </w:style>
  <w:style w:type="paragraph" w:styleId="Footer">
    <w:name w:val="footer"/>
    <w:basedOn w:val="Normal"/>
    <w:link w:val="FooterChar"/>
    <w:uiPriority w:val="99"/>
    <w:unhideWhenUsed/>
    <w:rsid w:val="00781A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1A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louisianaseafood.com/industry"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435</TotalTime>
  <Pages>10</Pages>
  <Words>3396</Words>
  <Characters>19358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 Allison</dc:creator>
  <cp:keywords/>
  <dc:description/>
  <cp:lastModifiedBy>West, Allison</cp:lastModifiedBy>
  <cp:revision>38</cp:revision>
  <dcterms:created xsi:type="dcterms:W3CDTF">2021-05-19T18:34:00Z</dcterms:created>
  <dcterms:modified xsi:type="dcterms:W3CDTF">2021-05-24T23:10:00Z</dcterms:modified>
</cp:coreProperties>
</file>